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E5" w:rsidRPr="007200A7" w:rsidRDefault="00A73C70"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353"/>
        <w:gridCol w:w="4428"/>
      </w:tblGrid>
      <w:tr w:rsidR="00855B10" w:rsidTr="00506F9B">
        <w:tc>
          <w:tcPr>
            <w:tcW w:w="5353" w:type="dxa"/>
          </w:tcPr>
          <w:p w:rsidR="00197BA3" w:rsidRPr="007200A7" w:rsidRDefault="00A73C70"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RDefault="00C24C2E" w:rsidP="00506F9B">
            <w:pPr>
              <w:rPr>
                <w:rFonts w:ascii="Verdana" w:hAnsi="Verdana"/>
                <w:b/>
                <w:bCs/>
                <w:iCs/>
                <w:color w:val="183850" w:themeColor="text1"/>
                <w:sz w:val="28"/>
              </w:rPr>
            </w:pPr>
          </w:p>
        </w:tc>
      </w:tr>
      <w:tr w:rsidR="00855B10" w:rsidTr="00506F9B">
        <w:tc>
          <w:tcPr>
            <w:tcW w:w="9781" w:type="dxa"/>
            <w:gridSpan w:val="2"/>
          </w:tcPr>
          <w:p w:rsidR="00197BA3" w:rsidRPr="007200A7" w:rsidRDefault="00C24C2E" w:rsidP="00506F9B">
            <w:pPr>
              <w:rPr>
                <w:rFonts w:ascii="Verdana" w:hAnsi="Verdana"/>
                <w:b/>
                <w:bCs/>
                <w:iCs/>
                <w:color w:val="183850" w:themeColor="text1"/>
                <w:sz w:val="24"/>
              </w:rPr>
            </w:pPr>
          </w:p>
        </w:tc>
      </w:tr>
      <w:tr w:rsidR="00855B10" w:rsidTr="00506F9B">
        <w:tc>
          <w:tcPr>
            <w:tcW w:w="5353" w:type="dxa"/>
          </w:tcPr>
          <w:p w:rsidR="00197BA3" w:rsidRPr="007200A7" w:rsidRDefault="00A73C70"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RDefault="00A73C70"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29 March 2019</w:t>
            </w:r>
          </w:p>
        </w:tc>
      </w:tr>
      <w:tr w:rsidR="00855B10" w:rsidTr="00506F9B">
        <w:tc>
          <w:tcPr>
            <w:tcW w:w="5353" w:type="dxa"/>
          </w:tcPr>
          <w:p w:rsidR="00197BA3" w:rsidRPr="007200A7" w:rsidRDefault="00A73C70" w:rsidP="00506F9B">
            <w:pPr>
              <w:rPr>
                <w:rFonts w:ascii="Verdana" w:hAnsi="Verdana"/>
                <w:b/>
                <w:bCs/>
                <w:iCs/>
                <w:color w:val="183850" w:themeColor="text1"/>
                <w:sz w:val="24"/>
                <w:szCs w:val="24"/>
              </w:rPr>
            </w:pPr>
            <w:r w:rsidRPr="007200A7">
              <w:rPr>
                <w:rFonts w:ascii="Verdana" w:hAnsi="Verdana"/>
                <w:b/>
                <w:bCs/>
                <w:iCs/>
                <w:color w:val="183850" w:themeColor="text1"/>
                <w:sz w:val="24"/>
                <w:szCs w:val="24"/>
              </w:rPr>
              <w:t>Responsible Investment Report</w:t>
            </w:r>
          </w:p>
        </w:tc>
        <w:tc>
          <w:tcPr>
            <w:tcW w:w="4428" w:type="dxa"/>
          </w:tcPr>
          <w:p w:rsidR="00197BA3" w:rsidRPr="007200A7" w:rsidRDefault="00C24C2E" w:rsidP="00506F9B">
            <w:pPr>
              <w:jc w:val="right"/>
              <w:rPr>
                <w:rFonts w:ascii="Verdana" w:hAnsi="Verdana"/>
                <w:b/>
                <w:bCs/>
                <w:iCs/>
                <w:color w:val="183850" w:themeColor="text1"/>
                <w:sz w:val="24"/>
                <w:szCs w:val="24"/>
              </w:rPr>
            </w:pPr>
          </w:p>
        </w:tc>
      </w:tr>
      <w:tr w:rsidR="00855B10" w:rsidTr="00506F9B">
        <w:tc>
          <w:tcPr>
            <w:tcW w:w="5353" w:type="dxa"/>
          </w:tcPr>
          <w:p w:rsidR="003A137F" w:rsidRPr="007200A7" w:rsidRDefault="00C24C2E" w:rsidP="00506F9B">
            <w:pPr>
              <w:rPr>
                <w:rFonts w:ascii="Verdana" w:hAnsi="Verdana"/>
                <w:b/>
                <w:bCs/>
                <w:iCs/>
                <w:color w:val="183850" w:themeColor="text1"/>
                <w:sz w:val="24"/>
                <w:szCs w:val="24"/>
              </w:rPr>
            </w:pPr>
          </w:p>
        </w:tc>
        <w:tc>
          <w:tcPr>
            <w:tcW w:w="4428" w:type="dxa"/>
          </w:tcPr>
          <w:p w:rsidR="003A137F" w:rsidRPr="007200A7" w:rsidRDefault="00C24C2E" w:rsidP="00506F9B">
            <w:pPr>
              <w:jc w:val="right"/>
              <w:rPr>
                <w:rFonts w:ascii="Verdana" w:hAnsi="Verdana"/>
                <w:b/>
                <w:bCs/>
                <w:iCs/>
                <w:color w:val="183850" w:themeColor="text1"/>
                <w:sz w:val="24"/>
                <w:szCs w:val="24"/>
              </w:rPr>
            </w:pPr>
          </w:p>
        </w:tc>
      </w:tr>
    </w:tbl>
    <w:p w:rsidR="00197BA3" w:rsidRPr="007200A7" w:rsidRDefault="00A73C70"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3"/>
        <w:gridCol w:w="7229"/>
      </w:tblGrid>
      <w:tr w:rsidR="00855B10" w:rsidTr="00506F9B">
        <w:trPr>
          <w:trHeight w:val="461"/>
        </w:trPr>
        <w:tc>
          <w:tcPr>
            <w:tcW w:w="2523" w:type="dxa"/>
            <w:shd w:val="clear" w:color="auto" w:fill="F2F2F2" w:themeFill="background1" w:themeFillShade="F2"/>
          </w:tcPr>
          <w:p w:rsidR="00197BA3" w:rsidRPr="007200A7" w:rsidRDefault="00A73C70"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RDefault="00A73C70" w:rsidP="00AC0264">
            <w:pPr>
              <w:ind w:left="1338" w:hanging="1338"/>
              <w:rPr>
                <w:rFonts w:ascii="Verdana" w:hAnsi="Verdana"/>
                <w:bCs/>
                <w:iCs/>
                <w:color w:val="183850" w:themeColor="text1"/>
                <w:sz w:val="20"/>
                <w:szCs w:val="20"/>
              </w:rPr>
            </w:pPr>
            <w:r w:rsidRPr="00AC0264">
              <w:rPr>
                <w:rFonts w:ascii="Verdana" w:hAnsi="Verdana"/>
                <w:bCs/>
                <w:sz w:val="20"/>
                <w:szCs w:val="20"/>
              </w:rPr>
              <w:t>Quarterly Report on Responsible Investment (2018 Q</w:t>
            </w:r>
            <w:r>
              <w:rPr>
                <w:rFonts w:ascii="Verdana" w:hAnsi="Verdana"/>
                <w:bCs/>
                <w:sz w:val="20"/>
                <w:szCs w:val="20"/>
              </w:rPr>
              <w:t>4</w:t>
            </w:r>
            <w:r w:rsidRPr="00AC0264">
              <w:rPr>
                <w:rFonts w:ascii="Verdana" w:hAnsi="Verdana"/>
                <w:bCs/>
                <w:sz w:val="20"/>
                <w:szCs w:val="20"/>
              </w:rPr>
              <w:t>)</w:t>
            </w:r>
          </w:p>
        </w:tc>
      </w:tr>
      <w:tr w:rsidR="00855B10" w:rsidTr="00506F9B">
        <w:trPr>
          <w:trHeight w:val="632"/>
        </w:trPr>
        <w:tc>
          <w:tcPr>
            <w:tcW w:w="2523" w:type="dxa"/>
            <w:shd w:val="clear" w:color="auto" w:fill="F2F2F2" w:themeFill="background1" w:themeFillShade="F2"/>
          </w:tcPr>
          <w:p w:rsidR="00197BA3" w:rsidRPr="007200A7" w:rsidRDefault="00A73C70"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AC0264" w:rsidRDefault="00A73C70" w:rsidP="00AC0264">
            <w:pPr>
              <w:ind w:left="1338" w:hanging="1338"/>
              <w:rPr>
                <w:rFonts w:ascii="Verdana" w:hAnsi="Verdana"/>
                <w:bCs/>
                <w:sz w:val="20"/>
                <w:szCs w:val="20"/>
              </w:rPr>
            </w:pPr>
            <w:r w:rsidRPr="00AC0264">
              <w:rPr>
                <w:rFonts w:ascii="Verdana" w:hAnsi="Verdana"/>
                <w:bCs/>
                <w:sz w:val="20"/>
                <w:szCs w:val="20"/>
              </w:rPr>
              <w:t xml:space="preserve">Frances Deakin </w:t>
            </w:r>
          </w:p>
          <w:p w:rsidR="00197BA3" w:rsidRPr="00AC0264" w:rsidRDefault="00A73C70" w:rsidP="00AC0264">
            <w:pPr>
              <w:ind w:left="1338" w:hanging="1338"/>
              <w:rPr>
                <w:rFonts w:ascii="Verdana" w:hAnsi="Verdana"/>
                <w:bCs/>
                <w:sz w:val="20"/>
                <w:szCs w:val="20"/>
              </w:rPr>
            </w:pPr>
            <w:r>
              <w:rPr>
                <w:rFonts w:ascii="Verdana" w:hAnsi="Verdana"/>
                <w:bCs/>
                <w:sz w:val="20"/>
                <w:szCs w:val="20"/>
              </w:rPr>
              <w:t>Head of Responsible Investment</w:t>
            </w:r>
          </w:p>
          <w:p w:rsidR="00197BA3" w:rsidRPr="00AC0264" w:rsidRDefault="00A73C70" w:rsidP="00AC0264">
            <w:pPr>
              <w:ind w:left="1338" w:hanging="1338"/>
              <w:rPr>
                <w:rFonts w:ascii="Verdana" w:hAnsi="Verdana"/>
                <w:bCs/>
                <w:sz w:val="20"/>
                <w:szCs w:val="20"/>
              </w:rPr>
            </w:pPr>
            <w:r w:rsidRPr="00AC0264">
              <w:rPr>
                <w:rFonts w:ascii="Verdana" w:hAnsi="Verdana"/>
                <w:bCs/>
                <w:sz w:val="20"/>
                <w:szCs w:val="20"/>
              </w:rPr>
              <w:t xml:space="preserve">Local Pensions Partnership Investments Ltd </w:t>
            </w:r>
          </w:p>
          <w:p w:rsidR="00197BA3" w:rsidRPr="007200A7" w:rsidRDefault="00C24C2E" w:rsidP="00506F9B">
            <w:pPr>
              <w:rPr>
                <w:rFonts w:ascii="Verdana" w:hAnsi="Verdana"/>
                <w:bCs/>
                <w:iCs/>
                <w:color w:val="183850" w:themeColor="text1"/>
                <w:sz w:val="20"/>
                <w:szCs w:val="20"/>
              </w:rPr>
            </w:pPr>
            <w:hyperlink r:id="rId8" w:history="1">
              <w:r w:rsidR="00A73C70" w:rsidRPr="007200A7">
                <w:rPr>
                  <w:rStyle w:val="Hyperlink"/>
                  <w:rFonts w:ascii="Verdana" w:hAnsi="Verdana"/>
                  <w:bCs/>
                  <w:iCs/>
                  <w:color w:val="183850" w:themeColor="text1"/>
                  <w:sz w:val="20"/>
                  <w:szCs w:val="20"/>
                </w:rPr>
                <w:t>frances.deakin@localpensionspartnership.org.uk</w:t>
              </w:r>
            </w:hyperlink>
          </w:p>
          <w:p w:rsidR="00197BA3" w:rsidRPr="007200A7" w:rsidRDefault="00C24C2E" w:rsidP="00506F9B">
            <w:pPr>
              <w:rPr>
                <w:rFonts w:ascii="Verdana" w:hAnsi="Verdana"/>
                <w:bCs/>
                <w:iCs/>
                <w:color w:val="183850" w:themeColor="text1"/>
                <w:sz w:val="20"/>
                <w:szCs w:val="20"/>
              </w:rPr>
            </w:pPr>
          </w:p>
        </w:tc>
      </w:tr>
      <w:tr w:rsidR="00855B10" w:rsidTr="00506F9B">
        <w:trPr>
          <w:trHeight w:val="456"/>
        </w:trPr>
        <w:tc>
          <w:tcPr>
            <w:tcW w:w="2523" w:type="dxa"/>
            <w:shd w:val="clear" w:color="auto" w:fill="F2F2F2" w:themeFill="background1" w:themeFillShade="F2"/>
          </w:tcPr>
          <w:p w:rsidR="00197BA3" w:rsidRPr="00610859" w:rsidRDefault="00A73C70"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A8013C" w:rsidRPr="00AC0264" w:rsidRDefault="00A73C70" w:rsidP="00C24C2E">
            <w:pPr>
              <w:ind w:left="1338" w:hanging="1338"/>
              <w:rPr>
                <w:rFonts w:ascii="Verdana" w:hAnsi="Verdana"/>
                <w:bCs/>
                <w:sz w:val="20"/>
                <w:szCs w:val="20"/>
              </w:rPr>
            </w:pPr>
            <w:r>
              <w:rPr>
                <w:rFonts w:ascii="Verdana" w:hAnsi="Verdana"/>
                <w:bCs/>
                <w:sz w:val="20"/>
                <w:szCs w:val="20"/>
              </w:rPr>
              <w:t>None</w:t>
            </w:r>
            <w:bookmarkStart w:id="0" w:name="_GoBack"/>
            <w:bookmarkEnd w:id="0"/>
          </w:p>
        </w:tc>
      </w:tr>
    </w:tbl>
    <w:p w:rsidR="00B23C16" w:rsidRPr="007200A7" w:rsidRDefault="00C24C2E" w:rsidP="00320885">
      <w:pPr>
        <w:spacing w:after="0" w:line="240" w:lineRule="auto"/>
        <w:rPr>
          <w:rFonts w:ascii="Verdana" w:hAnsi="Verdana" w:cs="Arial"/>
          <w:b/>
          <w:bCs/>
          <w:color w:val="183850" w:themeColor="text1"/>
          <w:sz w:val="20"/>
          <w:szCs w:val="20"/>
        </w:rPr>
      </w:pPr>
    </w:p>
    <w:p w:rsidR="00E04E31" w:rsidRDefault="00A73C70" w:rsidP="00C857CD">
      <w:pPr>
        <w:pStyle w:val="treb"/>
        <w:numPr>
          <w:ilvl w:val="0"/>
          <w:numId w:val="2"/>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RDefault="00C24C2E" w:rsidP="003B4083">
      <w:pPr>
        <w:pStyle w:val="treb"/>
        <w:numPr>
          <w:ilvl w:val="0"/>
          <w:numId w:val="0"/>
        </w:numPr>
        <w:spacing w:after="0"/>
        <w:rPr>
          <w:rFonts w:ascii="Verdana" w:hAnsi="Verdana"/>
          <w:b w:val="0"/>
          <w:color w:val="183850" w:themeColor="text1"/>
          <w:sz w:val="20"/>
          <w:szCs w:val="20"/>
        </w:rPr>
      </w:pPr>
    </w:p>
    <w:p w:rsidR="00197BA3" w:rsidRPr="00635B6D" w:rsidRDefault="00A73C70" w:rsidP="003B4083">
      <w:pPr>
        <w:pStyle w:val="treb"/>
        <w:numPr>
          <w:ilvl w:val="0"/>
          <w:numId w:val="0"/>
        </w:numPr>
        <w:spacing w:after="0"/>
        <w:rPr>
          <w:rFonts w:ascii="Verdana" w:hAnsi="Verdana"/>
          <w:b w:val="0"/>
          <w:sz w:val="20"/>
          <w:szCs w:val="20"/>
        </w:rPr>
      </w:pPr>
      <w:r w:rsidRPr="00635B6D">
        <w:rPr>
          <w:rFonts w:ascii="Verdana" w:hAnsi="Verdana"/>
          <w:b w:val="0"/>
          <w:sz w:val="20"/>
          <w:szCs w:val="20"/>
        </w:rPr>
        <w:t>This report provides members of the Pension Fund Committee of Lancashire County Pension Fund (LCPF) with a quarterly update on Responsible Investment (RI) matters.</w:t>
      </w:r>
    </w:p>
    <w:p w:rsidR="00197BA3" w:rsidRPr="00635B6D" w:rsidRDefault="00C24C2E" w:rsidP="003B4083">
      <w:pPr>
        <w:pStyle w:val="treb"/>
        <w:numPr>
          <w:ilvl w:val="0"/>
          <w:numId w:val="0"/>
        </w:numPr>
        <w:spacing w:after="0"/>
        <w:rPr>
          <w:rFonts w:ascii="Verdana" w:hAnsi="Verdana"/>
          <w:b w:val="0"/>
          <w:sz w:val="20"/>
          <w:szCs w:val="20"/>
        </w:rPr>
      </w:pPr>
    </w:p>
    <w:p w:rsidR="00320885" w:rsidRPr="00635B6D" w:rsidRDefault="00A73C70" w:rsidP="00C857CD">
      <w:pPr>
        <w:pStyle w:val="treb"/>
        <w:numPr>
          <w:ilvl w:val="0"/>
          <w:numId w:val="2"/>
        </w:numPr>
        <w:spacing w:after="0"/>
        <w:ind w:left="0" w:firstLine="0"/>
        <w:rPr>
          <w:rFonts w:ascii="Verdana" w:hAnsi="Verdana"/>
          <w:sz w:val="20"/>
          <w:szCs w:val="20"/>
        </w:rPr>
      </w:pPr>
      <w:r w:rsidRPr="00635B6D">
        <w:rPr>
          <w:rFonts w:ascii="Verdana" w:hAnsi="Verdana"/>
          <w:sz w:val="20"/>
          <w:szCs w:val="20"/>
        </w:rPr>
        <w:t>Introduction</w:t>
      </w:r>
    </w:p>
    <w:p w:rsidR="00197BA3" w:rsidRPr="007200A7" w:rsidRDefault="00C24C2E" w:rsidP="003B4083">
      <w:pPr>
        <w:autoSpaceDE w:val="0"/>
        <w:autoSpaceDN w:val="0"/>
        <w:adjustRightInd w:val="0"/>
        <w:spacing w:after="0"/>
        <w:jc w:val="both"/>
        <w:rPr>
          <w:rFonts w:ascii="Verdana" w:hAnsi="Verdana"/>
          <w:color w:val="183850" w:themeColor="text1"/>
          <w:sz w:val="20"/>
          <w:szCs w:val="20"/>
        </w:rPr>
      </w:pPr>
    </w:p>
    <w:p w:rsidR="00197BA3" w:rsidRPr="00635B6D" w:rsidRDefault="00A73C70" w:rsidP="003B4083">
      <w:pPr>
        <w:autoSpaceDE w:val="0"/>
        <w:autoSpaceDN w:val="0"/>
        <w:adjustRightInd w:val="0"/>
        <w:spacing w:after="0"/>
        <w:jc w:val="both"/>
        <w:rPr>
          <w:rFonts w:ascii="Verdana" w:hAnsi="Verdana" w:cs="TT3BA2o00"/>
          <w:sz w:val="20"/>
          <w:szCs w:val="20"/>
        </w:rPr>
      </w:pPr>
      <w:r w:rsidRPr="00635B6D">
        <w:rPr>
          <w:rFonts w:ascii="Verdana" w:hAnsi="Verdana"/>
          <w:sz w:val="20"/>
          <w:szCs w:val="20"/>
        </w:rPr>
        <w:t xml:space="preserve">The Fund's approach to RI is articulated within an Investment Strategy Statement (ISS) which confirms that the objective of RI is to decrease investor risk, improve risk-adjusted returns and </w:t>
      </w:r>
      <w:r w:rsidRPr="00635B6D">
        <w:rPr>
          <w:rFonts w:ascii="Verdana" w:hAnsi="Verdana" w:cs="TT3B97o00"/>
          <w:sz w:val="20"/>
          <w:szCs w:val="20"/>
        </w:rPr>
        <w:t>assist the Fund's adherence to the UK Stewardship Code. LCPF’s ISS is supplemented by a Responsible Investment Policy which explains that the Fund's preferred approach to RI encompasses four main areas of activity:</w:t>
      </w:r>
    </w:p>
    <w:p w:rsidR="00197BA3" w:rsidRPr="00635B6D" w:rsidRDefault="00A73C70"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Voting Globally</w:t>
      </w:r>
    </w:p>
    <w:p w:rsidR="00197BA3" w:rsidRPr="00635B6D" w:rsidRDefault="00A73C70"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Engagement through Partnerships</w:t>
      </w:r>
    </w:p>
    <w:p w:rsidR="00197BA3" w:rsidRPr="00635B6D" w:rsidRDefault="00A73C70"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Shareholder Litigation</w:t>
      </w:r>
    </w:p>
    <w:p w:rsidR="00197BA3" w:rsidRPr="00635B6D" w:rsidRDefault="00A73C70" w:rsidP="00C857CD">
      <w:pPr>
        <w:pStyle w:val="ListParagraph"/>
        <w:widowControl w:val="0"/>
        <w:numPr>
          <w:ilvl w:val="0"/>
          <w:numId w:val="3"/>
        </w:numPr>
        <w:tabs>
          <w:tab w:val="left" w:pos="426"/>
        </w:tabs>
        <w:autoSpaceDE w:val="0"/>
        <w:autoSpaceDN w:val="0"/>
        <w:adjustRightInd w:val="0"/>
        <w:spacing w:after="0" w:line="240" w:lineRule="auto"/>
        <w:ind w:left="0" w:firstLine="0"/>
        <w:contextualSpacing w:val="0"/>
        <w:jc w:val="both"/>
        <w:rPr>
          <w:rFonts w:ascii="Verdana" w:hAnsi="Verdana" w:cs="TT3BA2o00"/>
          <w:sz w:val="20"/>
          <w:szCs w:val="20"/>
        </w:rPr>
      </w:pPr>
      <w:r w:rsidRPr="00635B6D">
        <w:rPr>
          <w:rFonts w:ascii="Verdana" w:hAnsi="Verdana" w:cs="TT3BA2o00"/>
          <w:sz w:val="20"/>
          <w:szCs w:val="20"/>
        </w:rPr>
        <w:t>Active Investing</w:t>
      </w:r>
    </w:p>
    <w:p w:rsidR="006403C0" w:rsidRPr="00635B6D" w:rsidRDefault="00C24C2E" w:rsidP="003B4083">
      <w:pPr>
        <w:autoSpaceDE w:val="0"/>
        <w:autoSpaceDN w:val="0"/>
        <w:adjustRightInd w:val="0"/>
        <w:spacing w:after="0"/>
        <w:jc w:val="both"/>
        <w:rPr>
          <w:rFonts w:ascii="Verdana" w:hAnsi="Verdana" w:cs="TT3B97o00"/>
          <w:sz w:val="20"/>
          <w:szCs w:val="20"/>
        </w:rPr>
      </w:pPr>
    </w:p>
    <w:p w:rsidR="00197BA3" w:rsidRPr="00635B6D" w:rsidRDefault="00A73C70" w:rsidP="00692968">
      <w:pPr>
        <w:pStyle w:val="treb"/>
        <w:numPr>
          <w:ilvl w:val="0"/>
          <w:numId w:val="0"/>
        </w:numPr>
        <w:spacing w:after="0"/>
        <w:rPr>
          <w:rFonts w:ascii="Verdana" w:hAnsi="Verdana"/>
          <w:b w:val="0"/>
          <w:sz w:val="20"/>
          <w:szCs w:val="20"/>
        </w:rPr>
      </w:pPr>
      <w:r w:rsidRPr="00635B6D">
        <w:rPr>
          <w:rFonts w:ascii="Verdana" w:hAnsi="Verdana"/>
          <w:b w:val="0"/>
          <w:sz w:val="20"/>
          <w:szCs w:val="20"/>
        </w:rPr>
        <w:t xml:space="preserve">Responsibility for the practical implementation of the Fund's approach to RI is devolved to Local Pensions Partnership Investments Ltd (LPPI) as LCPF's provider of investment management services. The report which follows provides the Committee with an update on RI activity during the period 1 </w:t>
      </w:r>
      <w:r>
        <w:rPr>
          <w:rFonts w:ascii="Verdana" w:hAnsi="Verdana"/>
          <w:b w:val="0"/>
          <w:sz w:val="20"/>
          <w:szCs w:val="20"/>
        </w:rPr>
        <w:t>October to 31 Dec</w:t>
      </w:r>
      <w:r w:rsidRPr="00635B6D">
        <w:rPr>
          <w:rFonts w:ascii="Verdana" w:hAnsi="Verdana"/>
          <w:b w:val="0"/>
          <w:sz w:val="20"/>
          <w:szCs w:val="20"/>
        </w:rPr>
        <w:t>ember 2018 plus insight</w:t>
      </w:r>
      <w:r>
        <w:rPr>
          <w:rFonts w:ascii="Verdana" w:hAnsi="Verdana"/>
          <w:b w:val="0"/>
          <w:sz w:val="20"/>
          <w:szCs w:val="20"/>
        </w:rPr>
        <w:t>s</w:t>
      </w:r>
      <w:r w:rsidRPr="00635B6D">
        <w:rPr>
          <w:rFonts w:ascii="Verdana" w:hAnsi="Verdana"/>
          <w:b w:val="0"/>
          <w:sz w:val="20"/>
          <w:szCs w:val="20"/>
        </w:rPr>
        <w:t xml:space="preserve"> on current and emerging issues. </w:t>
      </w:r>
    </w:p>
    <w:p w:rsidR="00F83B47" w:rsidRPr="007200A7" w:rsidRDefault="00C24C2E" w:rsidP="003B4083">
      <w:pPr>
        <w:autoSpaceDE w:val="0"/>
        <w:autoSpaceDN w:val="0"/>
        <w:adjustRightInd w:val="0"/>
        <w:spacing w:after="0"/>
        <w:jc w:val="both"/>
        <w:rPr>
          <w:rFonts w:ascii="Verdana" w:hAnsi="Verdana" w:cs="TT3BA2o00"/>
          <w:color w:val="183850" w:themeColor="text1"/>
          <w:sz w:val="20"/>
          <w:szCs w:val="20"/>
        </w:rPr>
      </w:pPr>
    </w:p>
    <w:p w:rsidR="00197BA3" w:rsidRPr="008E62D7" w:rsidRDefault="00A73C70" w:rsidP="00C857CD">
      <w:pPr>
        <w:pStyle w:val="treb"/>
        <w:numPr>
          <w:ilvl w:val="0"/>
          <w:numId w:val="2"/>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RDefault="00C24C2E" w:rsidP="003B4083">
      <w:pPr>
        <w:pStyle w:val="treb"/>
        <w:numPr>
          <w:ilvl w:val="0"/>
          <w:numId w:val="0"/>
        </w:numPr>
        <w:spacing w:after="0"/>
        <w:rPr>
          <w:rFonts w:ascii="Verdana" w:hAnsi="Verdana"/>
          <w:color w:val="183850" w:themeColor="text1"/>
          <w:sz w:val="20"/>
          <w:szCs w:val="20"/>
        </w:rPr>
      </w:pPr>
    </w:p>
    <w:p w:rsidR="00B7162D" w:rsidRPr="00635B6D" w:rsidRDefault="00A73C70"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Through its investment in the LPPI Global Equities Fund (GEF) LCPF owns units in a pooled fund which invests in listed companies globally. Investors in the GEF delegate the control and exercise of shareholder voting to LPPI. This</w:t>
      </w:r>
      <w:r w:rsidRPr="00635B6D">
        <w:rPr>
          <w:rFonts w:ascii="Verdana" w:hAnsi="Verdana" w:cs="Arial"/>
          <w:sz w:val="20"/>
          <w:szCs w:val="20"/>
        </w:rPr>
        <w:t xml:space="preserve"> </w:t>
      </w:r>
      <w:r w:rsidRPr="00635B6D">
        <w:rPr>
          <w:rFonts w:ascii="Verdana" w:hAnsi="Verdana" w:cs="Arial"/>
          <w:bCs/>
          <w:sz w:val="20"/>
          <w:szCs w:val="20"/>
        </w:rPr>
        <w:t xml:space="preserve">reflects that clients owning units in the GEF are beneficial owners in common but do not directly own shares in underlying companies. </w:t>
      </w:r>
    </w:p>
    <w:p w:rsidR="00FC2A79" w:rsidRPr="00635B6D" w:rsidRDefault="00C24C2E" w:rsidP="003B4083">
      <w:pPr>
        <w:autoSpaceDE w:val="0"/>
        <w:autoSpaceDN w:val="0"/>
        <w:adjustRightInd w:val="0"/>
        <w:spacing w:after="0"/>
        <w:rPr>
          <w:rFonts w:ascii="Verdana" w:hAnsi="Verdana" w:cs="Arial"/>
          <w:bCs/>
          <w:sz w:val="20"/>
          <w:szCs w:val="20"/>
        </w:rPr>
      </w:pPr>
    </w:p>
    <w:p w:rsidR="00581D92" w:rsidRDefault="00C24C2E" w:rsidP="003B4083">
      <w:pPr>
        <w:autoSpaceDE w:val="0"/>
        <w:autoSpaceDN w:val="0"/>
        <w:adjustRightInd w:val="0"/>
        <w:spacing w:after="0"/>
        <w:rPr>
          <w:rFonts w:ascii="Verdana" w:hAnsi="Verdana" w:cs="Arial"/>
          <w:bCs/>
          <w:color w:val="183850" w:themeColor="text1"/>
          <w:sz w:val="20"/>
          <w:szCs w:val="20"/>
        </w:rPr>
      </w:pPr>
    </w:p>
    <w:p w:rsidR="0004532C" w:rsidRPr="00635B6D" w:rsidRDefault="00A73C70"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LPPI exercise shareholder voting rights for the GEF centrally rather than delegating voting to individual asset managers and take account of voting recommendations from an external provider of proxy voting and governance research (ISS) in accordance a Sustainability Voting Policy designed to ensure the consideration of ESG factors within analysis. LPPI review voting recommendations and take the final decision on all voting.</w:t>
      </w:r>
    </w:p>
    <w:p w:rsidR="00197BA3" w:rsidRPr="00635B6D" w:rsidRDefault="00A73C70" w:rsidP="003B4083">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 </w:t>
      </w:r>
    </w:p>
    <w:p w:rsidR="009D783C" w:rsidRPr="00635B6D" w:rsidRDefault="00A73C70" w:rsidP="00692968">
      <w:pPr>
        <w:autoSpaceDE w:val="0"/>
        <w:autoSpaceDN w:val="0"/>
        <w:adjustRightInd w:val="0"/>
        <w:spacing w:after="0"/>
        <w:rPr>
          <w:rFonts w:ascii="Verdana" w:hAnsi="Verdana" w:cs="Arial"/>
          <w:bCs/>
          <w:sz w:val="20"/>
          <w:szCs w:val="20"/>
        </w:rPr>
      </w:pPr>
      <w:r w:rsidRPr="00635B6D">
        <w:rPr>
          <w:rFonts w:ascii="Verdana" w:hAnsi="Verdana" w:cs="Arial"/>
          <w:bCs/>
          <w:sz w:val="20"/>
          <w:szCs w:val="20"/>
        </w:rPr>
        <w:t xml:space="preserve">In the </w:t>
      </w:r>
      <w:r>
        <w:rPr>
          <w:rFonts w:ascii="Verdana" w:hAnsi="Verdana" w:cs="Arial"/>
          <w:bCs/>
          <w:sz w:val="20"/>
          <w:szCs w:val="20"/>
        </w:rPr>
        <w:t>fourth</w:t>
      </w:r>
      <w:r w:rsidRPr="00635B6D">
        <w:rPr>
          <w:rFonts w:ascii="Verdana" w:hAnsi="Verdana" w:cs="Arial"/>
          <w:bCs/>
          <w:sz w:val="20"/>
          <w:szCs w:val="20"/>
        </w:rPr>
        <w:t xml:space="preserve"> quarter of 2018 shareholder voting headlines for the GEF were as follows:</w:t>
      </w:r>
    </w:p>
    <w:p w:rsidR="00BE766B" w:rsidRPr="00635B6D" w:rsidRDefault="00C24C2E" w:rsidP="00692968">
      <w:pPr>
        <w:autoSpaceDE w:val="0"/>
        <w:autoSpaceDN w:val="0"/>
        <w:adjustRightInd w:val="0"/>
        <w:spacing w:after="0"/>
        <w:rPr>
          <w:rFonts w:ascii="Verdana" w:hAnsi="Verdana" w:cs="Arial"/>
          <w:bCs/>
          <w:sz w:val="20"/>
          <w:szCs w:val="20"/>
          <w:u w:val="single"/>
        </w:rPr>
      </w:pPr>
    </w:p>
    <w:p w:rsidR="00BE766B" w:rsidRPr="00635B6D" w:rsidRDefault="00A73C70" w:rsidP="00D95CF3">
      <w:pPr>
        <w:spacing w:after="0"/>
        <w:rPr>
          <w:rFonts w:ascii="Verdana" w:hAnsi="Verdana" w:cs="Arial"/>
          <w:bCs/>
          <w:sz w:val="20"/>
          <w:szCs w:val="20"/>
          <w:u w:val="single"/>
        </w:rPr>
      </w:pPr>
      <w:r w:rsidRPr="00635B6D">
        <w:rPr>
          <w:rFonts w:ascii="Verdana" w:hAnsi="Verdana" w:cs="Arial"/>
          <w:bCs/>
          <w:sz w:val="20"/>
          <w:szCs w:val="20"/>
          <w:u w:val="single"/>
        </w:rPr>
        <w:t>LPP</w:t>
      </w:r>
      <w:r>
        <w:rPr>
          <w:rFonts w:ascii="Verdana" w:hAnsi="Verdana" w:cs="Arial"/>
          <w:bCs/>
          <w:sz w:val="20"/>
          <w:szCs w:val="20"/>
          <w:u w:val="single"/>
        </w:rPr>
        <w:t>I</w:t>
      </w:r>
      <w:r w:rsidRPr="00635B6D">
        <w:rPr>
          <w:rFonts w:ascii="Verdana" w:hAnsi="Verdana" w:cs="Arial"/>
          <w:bCs/>
          <w:sz w:val="20"/>
          <w:szCs w:val="20"/>
          <w:u w:val="single"/>
        </w:rPr>
        <w:t xml:space="preserve"> Global Equities Fund (GEF)</w:t>
      </w:r>
    </w:p>
    <w:p w:rsidR="00A05E4A" w:rsidRPr="00635B6D" w:rsidRDefault="00C24C2E" w:rsidP="00EE70E7">
      <w:pPr>
        <w:pStyle w:val="ListParagraph"/>
        <w:spacing w:after="0"/>
        <w:ind w:left="0"/>
        <w:rPr>
          <w:rFonts w:ascii="Verdana" w:hAnsi="Verdana"/>
          <w:u w:val="single"/>
        </w:rPr>
      </w:pPr>
    </w:p>
    <w:tbl>
      <w:tblPr>
        <w:tblW w:w="7060" w:type="dxa"/>
        <w:tblInd w:w="-10" w:type="dxa"/>
        <w:tblLook w:val="04A0" w:firstRow="1" w:lastRow="0" w:firstColumn="1" w:lastColumn="0" w:noHBand="0" w:noVBand="1"/>
      </w:tblPr>
      <w:tblGrid>
        <w:gridCol w:w="6379"/>
        <w:gridCol w:w="681"/>
      </w:tblGrid>
      <w:tr w:rsidR="00855B10" w:rsidTr="00177D2D">
        <w:trPr>
          <w:trHeight w:val="559"/>
        </w:trPr>
        <w:tc>
          <w:tcPr>
            <w:tcW w:w="637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Total company meetings taking place</w:t>
            </w:r>
          </w:p>
        </w:tc>
        <w:tc>
          <w:tcPr>
            <w:tcW w:w="681" w:type="dxa"/>
            <w:tcBorders>
              <w:top w:val="single" w:sz="8" w:space="0" w:color="auto"/>
              <w:left w:val="nil"/>
              <w:bottom w:val="single" w:sz="8" w:space="0" w:color="auto"/>
              <w:right w:val="single" w:sz="8" w:space="0" w:color="auto"/>
            </w:tcBorders>
            <w:shd w:val="clear" w:color="000000" w:fill="FFFFFF"/>
            <w:noWrap/>
            <w:vAlign w:val="center"/>
            <w:hideMark/>
          </w:tcPr>
          <w:p w:rsidR="00A05E4A" w:rsidRPr="00635B6D" w:rsidRDefault="00A73C70" w:rsidP="00177D2D">
            <w:pPr>
              <w:jc w:val="center"/>
              <w:rPr>
                <w:rFonts w:ascii="Verdana" w:hAnsi="Verdana" w:cs="Arial"/>
                <w:sz w:val="20"/>
                <w:szCs w:val="20"/>
              </w:rPr>
            </w:pPr>
            <w:r>
              <w:rPr>
                <w:rFonts w:ascii="Verdana" w:hAnsi="Verdana" w:cs="Arial"/>
                <w:sz w:val="20"/>
                <w:szCs w:val="20"/>
              </w:rPr>
              <w:t>63</w:t>
            </w:r>
          </w:p>
        </w:tc>
      </w:tr>
      <w:tr w:rsidR="00855B10"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 xml:space="preserve">Total resolutions </w:t>
            </w:r>
          </w:p>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(management and shareholder proposals)</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A73C70" w:rsidP="00177D2D">
            <w:pPr>
              <w:jc w:val="center"/>
              <w:rPr>
                <w:rFonts w:ascii="Verdana" w:hAnsi="Verdana" w:cs="Arial"/>
                <w:sz w:val="20"/>
                <w:szCs w:val="20"/>
              </w:rPr>
            </w:pPr>
            <w:r w:rsidRPr="00635B6D">
              <w:rPr>
                <w:rFonts w:ascii="Verdana" w:hAnsi="Verdana" w:cs="Arial"/>
                <w:sz w:val="20"/>
                <w:szCs w:val="20"/>
              </w:rPr>
              <w:t>6</w:t>
            </w:r>
            <w:r>
              <w:rPr>
                <w:rFonts w:ascii="Verdana" w:hAnsi="Verdana" w:cs="Arial"/>
                <w:sz w:val="20"/>
                <w:szCs w:val="20"/>
              </w:rPr>
              <w:t>09</w:t>
            </w:r>
          </w:p>
        </w:tc>
      </w:tr>
      <w:tr w:rsidR="00855B10"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Total company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A73C70" w:rsidP="00177D2D">
            <w:pPr>
              <w:jc w:val="center"/>
              <w:rPr>
                <w:rFonts w:ascii="Verdana" w:hAnsi="Verdana" w:cs="Arial"/>
                <w:sz w:val="20"/>
                <w:szCs w:val="20"/>
              </w:rPr>
            </w:pPr>
            <w:r>
              <w:rPr>
                <w:rFonts w:ascii="Verdana" w:hAnsi="Verdana" w:cs="Arial"/>
                <w:sz w:val="20"/>
                <w:szCs w:val="20"/>
              </w:rPr>
              <w:t>599</w:t>
            </w:r>
          </w:p>
        </w:tc>
      </w:tr>
      <w:tr w:rsidR="00855B10" w:rsidTr="00177D2D">
        <w:trPr>
          <w:trHeight w:val="559"/>
        </w:trPr>
        <w:tc>
          <w:tcPr>
            <w:tcW w:w="6379" w:type="dxa"/>
            <w:tcBorders>
              <w:top w:val="nil"/>
              <w:left w:val="single" w:sz="8" w:space="0" w:color="auto"/>
              <w:bottom w:val="single" w:sz="8" w:space="0" w:color="auto"/>
              <w:right w:val="single" w:sz="8"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Total shareholder proposals in the period</w:t>
            </w:r>
          </w:p>
        </w:tc>
        <w:tc>
          <w:tcPr>
            <w:tcW w:w="681" w:type="dxa"/>
            <w:tcBorders>
              <w:top w:val="nil"/>
              <w:left w:val="nil"/>
              <w:bottom w:val="single" w:sz="8" w:space="0" w:color="auto"/>
              <w:right w:val="single" w:sz="8" w:space="0" w:color="auto"/>
            </w:tcBorders>
            <w:shd w:val="clear" w:color="000000" w:fill="FFFFFF"/>
            <w:noWrap/>
            <w:vAlign w:val="center"/>
            <w:hideMark/>
          </w:tcPr>
          <w:p w:rsidR="00A05E4A" w:rsidRPr="00635B6D" w:rsidRDefault="00A73C70" w:rsidP="00177D2D">
            <w:pPr>
              <w:jc w:val="center"/>
              <w:rPr>
                <w:rFonts w:ascii="Verdana" w:hAnsi="Verdana" w:cs="Arial"/>
                <w:sz w:val="20"/>
                <w:szCs w:val="20"/>
              </w:rPr>
            </w:pPr>
            <w:r>
              <w:rPr>
                <w:rFonts w:ascii="Verdana" w:hAnsi="Verdana" w:cs="Arial"/>
                <w:sz w:val="20"/>
                <w:szCs w:val="20"/>
              </w:rPr>
              <w:t>10</w:t>
            </w:r>
          </w:p>
        </w:tc>
      </w:tr>
    </w:tbl>
    <w:p w:rsidR="00A05E4A" w:rsidRPr="00635B6D" w:rsidRDefault="00C24C2E" w:rsidP="00EE70E7">
      <w:pPr>
        <w:spacing w:after="0"/>
        <w:rPr>
          <w:rFonts w:ascii="Verdana" w:hAnsi="Verdana"/>
          <w:u w:val="single"/>
        </w:rPr>
      </w:pPr>
    </w:p>
    <w:p w:rsidR="00A05E4A" w:rsidRPr="00635B6D" w:rsidRDefault="00A73C70" w:rsidP="00EE70E7">
      <w:pPr>
        <w:autoSpaceDE w:val="0"/>
        <w:autoSpaceDN w:val="0"/>
        <w:adjustRightInd w:val="0"/>
        <w:spacing w:after="0"/>
        <w:rPr>
          <w:rFonts w:ascii="Verdana" w:hAnsi="Verdana" w:cs="Arial"/>
          <w:bCs/>
          <w:sz w:val="20"/>
          <w:szCs w:val="20"/>
        </w:rPr>
      </w:pPr>
      <w:r w:rsidRPr="00635B6D">
        <w:rPr>
          <w:rFonts w:ascii="Verdana" w:hAnsi="Verdana" w:cs="Arial"/>
          <w:bCs/>
          <w:sz w:val="20"/>
          <w:szCs w:val="20"/>
        </w:rPr>
        <w:t>Company Proposals</w:t>
      </w:r>
    </w:p>
    <w:tbl>
      <w:tblPr>
        <w:tblW w:w="7287" w:type="dxa"/>
        <w:tblInd w:w="-5" w:type="dxa"/>
        <w:tblLook w:val="04A0" w:firstRow="1" w:lastRow="0" w:firstColumn="1" w:lastColumn="0" w:noHBand="0" w:noVBand="1"/>
      </w:tblPr>
      <w:tblGrid>
        <w:gridCol w:w="6003"/>
        <w:gridCol w:w="598"/>
        <w:gridCol w:w="686"/>
      </w:tblGrid>
      <w:tr w:rsidR="00855B10" w:rsidTr="00A05E4A">
        <w:trPr>
          <w:trHeight w:val="270"/>
        </w:trPr>
        <w:tc>
          <w:tcPr>
            <w:tcW w:w="60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 xml:space="preserve">Voting </w:t>
            </w:r>
            <w:r>
              <w:rPr>
                <w:rFonts w:ascii="Verdana" w:hAnsi="Verdana" w:cs="Arial"/>
                <w:sz w:val="20"/>
                <w:szCs w:val="20"/>
              </w:rPr>
              <w:t>Supported Management</w:t>
            </w:r>
          </w:p>
        </w:tc>
        <w:tc>
          <w:tcPr>
            <w:tcW w:w="5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560</w:t>
            </w:r>
          </w:p>
        </w:tc>
        <w:tc>
          <w:tcPr>
            <w:tcW w:w="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93</w:t>
            </w:r>
            <w:r w:rsidRPr="00635B6D">
              <w:rPr>
                <w:rFonts w:ascii="Verdana" w:hAnsi="Verdana" w:cs="Arial"/>
                <w:sz w:val="20"/>
                <w:szCs w:val="20"/>
              </w:rPr>
              <w:t>%</w:t>
            </w:r>
          </w:p>
        </w:tc>
      </w:tr>
      <w:tr w:rsidR="00855B10" w:rsidTr="00A05E4A">
        <w:trPr>
          <w:trHeight w:val="270"/>
        </w:trPr>
        <w:tc>
          <w:tcPr>
            <w:tcW w:w="6003"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 xml:space="preserve">Voting </w:t>
            </w:r>
            <w:r>
              <w:rPr>
                <w:rFonts w:ascii="Verdana" w:hAnsi="Verdana" w:cs="Arial"/>
                <w:sz w:val="20"/>
                <w:szCs w:val="20"/>
              </w:rPr>
              <w:t>Opposed Management</w:t>
            </w:r>
          </w:p>
        </w:tc>
        <w:tc>
          <w:tcPr>
            <w:tcW w:w="598" w:type="dxa"/>
            <w:tcBorders>
              <w:top w:val="single" w:sz="4" w:space="0" w:color="auto"/>
              <w:left w:val="nil"/>
              <w:bottom w:val="single" w:sz="8" w:space="0" w:color="auto"/>
              <w:right w:val="single" w:sz="8" w:space="0" w:color="auto"/>
            </w:tcBorders>
            <w:shd w:val="clear" w:color="000000" w:fill="FFFFFF"/>
            <w:noWrap/>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39</w:t>
            </w:r>
          </w:p>
        </w:tc>
        <w:tc>
          <w:tcPr>
            <w:tcW w:w="686" w:type="dxa"/>
            <w:tcBorders>
              <w:top w:val="single" w:sz="4" w:space="0" w:color="auto"/>
              <w:left w:val="nil"/>
              <w:bottom w:val="single" w:sz="8" w:space="0" w:color="auto"/>
              <w:right w:val="single" w:sz="8" w:space="0" w:color="auto"/>
            </w:tcBorders>
            <w:shd w:val="clear" w:color="000000" w:fill="FFFFFF"/>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7</w:t>
            </w:r>
            <w:r w:rsidRPr="00635B6D">
              <w:rPr>
                <w:rFonts w:ascii="Verdana" w:hAnsi="Verdana" w:cs="Arial"/>
                <w:sz w:val="20"/>
                <w:szCs w:val="20"/>
              </w:rPr>
              <w:t>%</w:t>
            </w:r>
          </w:p>
        </w:tc>
      </w:tr>
    </w:tbl>
    <w:p w:rsidR="00A05E4A" w:rsidRPr="00635B6D" w:rsidRDefault="00C24C2E" w:rsidP="00EE70E7">
      <w:pPr>
        <w:spacing w:after="0"/>
        <w:rPr>
          <w:rFonts w:ascii="Verdana" w:hAnsi="Verdana"/>
          <w:u w:val="single"/>
        </w:rPr>
      </w:pPr>
    </w:p>
    <w:p w:rsidR="00A05E4A" w:rsidRPr="00635B6D" w:rsidRDefault="00A73C70" w:rsidP="00EE70E7">
      <w:pPr>
        <w:autoSpaceDE w:val="0"/>
        <w:autoSpaceDN w:val="0"/>
        <w:adjustRightInd w:val="0"/>
        <w:spacing w:after="0"/>
        <w:rPr>
          <w:rFonts w:ascii="Verdana" w:hAnsi="Verdana" w:cs="Arial"/>
          <w:bCs/>
          <w:sz w:val="20"/>
          <w:szCs w:val="20"/>
        </w:rPr>
      </w:pPr>
      <w:r w:rsidRPr="00635B6D">
        <w:rPr>
          <w:rFonts w:ascii="Verdana" w:hAnsi="Verdana" w:cs="Arial"/>
          <w:bCs/>
          <w:sz w:val="20"/>
          <w:szCs w:val="20"/>
        </w:rPr>
        <w:t>Shareholder Proposals</w:t>
      </w:r>
    </w:p>
    <w:tbl>
      <w:tblPr>
        <w:tblW w:w="7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3"/>
        <w:gridCol w:w="659"/>
        <w:gridCol w:w="686"/>
      </w:tblGrid>
      <w:tr w:rsidR="00855B10" w:rsidTr="00A05E4A">
        <w:trPr>
          <w:trHeight w:val="270"/>
        </w:trPr>
        <w:tc>
          <w:tcPr>
            <w:tcW w:w="6003" w:type="dxa"/>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Shareholder proposals supported by LPPI</w:t>
            </w:r>
          </w:p>
        </w:tc>
        <w:tc>
          <w:tcPr>
            <w:tcW w:w="659" w:type="dxa"/>
            <w:shd w:val="clear" w:color="000000" w:fill="FFFFFF"/>
            <w:noWrap/>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6</w:t>
            </w:r>
          </w:p>
        </w:tc>
        <w:tc>
          <w:tcPr>
            <w:tcW w:w="686" w:type="dxa"/>
            <w:shd w:val="clear" w:color="000000" w:fill="FFFFFF"/>
            <w:vAlign w:val="center"/>
            <w:hideMark/>
          </w:tcPr>
          <w:p w:rsidR="00A05E4A" w:rsidRPr="00635B6D" w:rsidRDefault="00A73C70" w:rsidP="000342B3">
            <w:pPr>
              <w:spacing w:after="0"/>
              <w:rPr>
                <w:rFonts w:ascii="Verdana" w:hAnsi="Verdana" w:cs="Arial"/>
                <w:sz w:val="20"/>
                <w:szCs w:val="20"/>
              </w:rPr>
            </w:pPr>
            <w:r>
              <w:rPr>
                <w:rFonts w:ascii="Verdana" w:hAnsi="Verdana" w:cs="Arial"/>
                <w:sz w:val="20"/>
                <w:szCs w:val="20"/>
              </w:rPr>
              <w:t>60</w:t>
            </w:r>
            <w:r w:rsidRPr="00635B6D">
              <w:rPr>
                <w:rFonts w:ascii="Verdana" w:hAnsi="Verdana" w:cs="Arial"/>
                <w:sz w:val="20"/>
                <w:szCs w:val="20"/>
              </w:rPr>
              <w:t>%</w:t>
            </w:r>
          </w:p>
        </w:tc>
      </w:tr>
      <w:tr w:rsidR="00855B10" w:rsidTr="00A05E4A">
        <w:trPr>
          <w:trHeight w:val="270"/>
        </w:trPr>
        <w:tc>
          <w:tcPr>
            <w:tcW w:w="6003" w:type="dxa"/>
            <w:shd w:val="clear" w:color="000000" w:fill="FFFFFF"/>
            <w:noWrap/>
            <w:vAlign w:val="center"/>
            <w:hideMark/>
          </w:tcPr>
          <w:p w:rsidR="00A05E4A" w:rsidRPr="00635B6D" w:rsidRDefault="00A73C70" w:rsidP="00EE70E7">
            <w:pPr>
              <w:spacing w:after="0"/>
              <w:rPr>
                <w:rFonts w:ascii="Verdana" w:hAnsi="Verdana" w:cs="Arial"/>
                <w:sz w:val="20"/>
                <w:szCs w:val="20"/>
              </w:rPr>
            </w:pPr>
            <w:r w:rsidRPr="00635B6D">
              <w:rPr>
                <w:rFonts w:ascii="Verdana" w:hAnsi="Verdana" w:cs="Arial"/>
                <w:sz w:val="20"/>
                <w:szCs w:val="20"/>
              </w:rPr>
              <w:t>Votes against shareholder proposals</w:t>
            </w:r>
          </w:p>
        </w:tc>
        <w:tc>
          <w:tcPr>
            <w:tcW w:w="659" w:type="dxa"/>
            <w:shd w:val="clear" w:color="000000" w:fill="FFFFFF"/>
            <w:noWrap/>
            <w:vAlign w:val="center"/>
            <w:hideMark/>
          </w:tcPr>
          <w:p w:rsidR="00A05E4A" w:rsidRPr="00635B6D" w:rsidRDefault="00A73C70" w:rsidP="00EE70E7">
            <w:pPr>
              <w:spacing w:after="0"/>
              <w:jc w:val="center"/>
              <w:rPr>
                <w:rFonts w:ascii="Verdana" w:hAnsi="Verdana" w:cs="Arial"/>
                <w:sz w:val="20"/>
                <w:szCs w:val="20"/>
              </w:rPr>
            </w:pPr>
            <w:r>
              <w:rPr>
                <w:rFonts w:ascii="Verdana" w:hAnsi="Verdana" w:cs="Arial"/>
                <w:sz w:val="20"/>
                <w:szCs w:val="20"/>
              </w:rPr>
              <w:t>4</w:t>
            </w:r>
          </w:p>
        </w:tc>
        <w:tc>
          <w:tcPr>
            <w:tcW w:w="686" w:type="dxa"/>
            <w:shd w:val="clear" w:color="auto" w:fill="auto"/>
            <w:noWrap/>
            <w:hideMark/>
          </w:tcPr>
          <w:p w:rsidR="00A05E4A" w:rsidRPr="00635B6D" w:rsidRDefault="00A73C70" w:rsidP="00EE70E7">
            <w:pPr>
              <w:spacing w:after="0"/>
              <w:jc w:val="center"/>
              <w:rPr>
                <w:rFonts w:ascii="Arial" w:hAnsi="Arial" w:cs="Arial"/>
                <w:sz w:val="20"/>
                <w:szCs w:val="20"/>
              </w:rPr>
            </w:pPr>
            <w:r>
              <w:rPr>
                <w:rFonts w:ascii="Arial" w:hAnsi="Arial" w:cs="Arial"/>
                <w:sz w:val="20"/>
                <w:szCs w:val="20"/>
              </w:rPr>
              <w:t>40</w:t>
            </w:r>
            <w:r w:rsidRPr="00635B6D">
              <w:rPr>
                <w:rFonts w:ascii="Arial" w:hAnsi="Arial" w:cs="Arial"/>
                <w:sz w:val="20"/>
                <w:szCs w:val="20"/>
              </w:rPr>
              <w:t>%</w:t>
            </w:r>
          </w:p>
        </w:tc>
      </w:tr>
    </w:tbl>
    <w:p w:rsidR="000342B3" w:rsidRDefault="00C24C2E" w:rsidP="00EA4636">
      <w:pPr>
        <w:autoSpaceDE w:val="0"/>
        <w:autoSpaceDN w:val="0"/>
        <w:adjustRightInd w:val="0"/>
        <w:spacing w:after="0"/>
        <w:rPr>
          <w:rFonts w:ascii="Verdana" w:hAnsi="Verdana"/>
          <w:sz w:val="20"/>
          <w:szCs w:val="20"/>
        </w:rPr>
      </w:pPr>
    </w:p>
    <w:p w:rsidR="00635B6D" w:rsidRDefault="00A73C70" w:rsidP="00EA4636">
      <w:pPr>
        <w:autoSpaceDE w:val="0"/>
        <w:autoSpaceDN w:val="0"/>
        <w:adjustRightInd w:val="0"/>
        <w:spacing w:after="0"/>
        <w:rPr>
          <w:rFonts w:ascii="Verdana" w:hAnsi="Verdana" w:cs="Arial"/>
          <w:bCs/>
          <w:sz w:val="20"/>
          <w:szCs w:val="20"/>
        </w:rPr>
      </w:pPr>
      <w:r w:rsidRPr="00635B6D">
        <w:rPr>
          <w:rFonts w:ascii="Verdana" w:hAnsi="Verdana"/>
          <w:sz w:val="20"/>
          <w:szCs w:val="20"/>
        </w:rPr>
        <w:t xml:space="preserve">The </w:t>
      </w:r>
      <w:r>
        <w:rPr>
          <w:rFonts w:ascii="Verdana" w:hAnsi="Verdana"/>
          <w:sz w:val="20"/>
          <w:szCs w:val="20"/>
        </w:rPr>
        <w:t xml:space="preserve">following </w:t>
      </w:r>
      <w:r w:rsidRPr="00635B6D">
        <w:rPr>
          <w:rFonts w:ascii="Verdana" w:hAnsi="Verdana"/>
          <w:sz w:val="20"/>
          <w:szCs w:val="20"/>
        </w:rPr>
        <w:t xml:space="preserve">table summarises resolutions by type and indicates </w:t>
      </w:r>
      <w:r w:rsidRPr="006F5AD6">
        <w:rPr>
          <w:rFonts w:ascii="Verdana" w:hAnsi="Verdana" w:cs="Arial"/>
          <w:bCs/>
          <w:sz w:val="20"/>
          <w:szCs w:val="20"/>
        </w:rPr>
        <w:t xml:space="preserve">where opposition voting </w:t>
      </w:r>
      <w:r>
        <w:rPr>
          <w:rFonts w:ascii="Verdana" w:hAnsi="Verdana" w:cs="Arial"/>
          <w:bCs/>
          <w:sz w:val="20"/>
          <w:szCs w:val="20"/>
        </w:rPr>
        <w:t xml:space="preserve">was </w:t>
      </w:r>
      <w:r w:rsidRPr="006F5AD6">
        <w:rPr>
          <w:rFonts w:ascii="Verdana" w:hAnsi="Verdana" w:cs="Arial"/>
          <w:bCs/>
          <w:sz w:val="20"/>
          <w:szCs w:val="20"/>
        </w:rPr>
        <w:t>concentrated</w:t>
      </w:r>
      <w:r w:rsidRPr="006F5AD6">
        <w:rPr>
          <w:rFonts w:ascii="Verdana" w:hAnsi="Verdana"/>
          <w:sz w:val="20"/>
          <w:szCs w:val="20"/>
        </w:rPr>
        <w:t xml:space="preserve"> </w:t>
      </w:r>
      <w:r w:rsidRPr="006F5AD6">
        <w:rPr>
          <w:rFonts w:ascii="Verdana" w:hAnsi="Verdana" w:cs="Arial"/>
          <w:bCs/>
          <w:sz w:val="20"/>
          <w:szCs w:val="20"/>
        </w:rPr>
        <w:t>in Q</w:t>
      </w:r>
      <w:r>
        <w:rPr>
          <w:rFonts w:ascii="Verdana" w:hAnsi="Verdana" w:cs="Arial"/>
          <w:bCs/>
          <w:sz w:val="20"/>
          <w:szCs w:val="20"/>
        </w:rPr>
        <w:t>4.</w:t>
      </w:r>
    </w:p>
    <w:p w:rsidR="00673325" w:rsidRPr="006F5AD6" w:rsidRDefault="00C24C2E" w:rsidP="00EA4636">
      <w:pPr>
        <w:autoSpaceDE w:val="0"/>
        <w:autoSpaceDN w:val="0"/>
        <w:adjustRightInd w:val="0"/>
        <w:spacing w:after="0"/>
        <w:rPr>
          <w:rFonts w:ascii="Verdana" w:hAnsi="Verdana"/>
          <w:sz w:val="20"/>
          <w:szCs w:val="20"/>
        </w:rPr>
      </w:pPr>
    </w:p>
    <w:tbl>
      <w:tblPr>
        <w:tblW w:w="7339" w:type="dxa"/>
        <w:tblLook w:val="04A0" w:firstRow="1" w:lastRow="0" w:firstColumn="1" w:lastColumn="0" w:noHBand="0" w:noVBand="1"/>
      </w:tblPr>
      <w:tblGrid>
        <w:gridCol w:w="2977"/>
        <w:gridCol w:w="992"/>
        <w:gridCol w:w="1134"/>
        <w:gridCol w:w="1102"/>
        <w:gridCol w:w="1134"/>
      </w:tblGrid>
      <w:tr w:rsidR="00855B10" w:rsidTr="00177D2D">
        <w:trPr>
          <w:trHeight w:val="255"/>
        </w:trPr>
        <w:tc>
          <w:tcPr>
            <w:tcW w:w="2977" w:type="dxa"/>
            <w:tcBorders>
              <w:top w:val="nil"/>
              <w:left w:val="nil"/>
              <w:bottom w:val="nil"/>
              <w:right w:val="nil"/>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4362"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Proposals</w:t>
            </w:r>
          </w:p>
        </w:tc>
      </w:tr>
      <w:tr w:rsidR="00855B10" w:rsidTr="00177D2D">
        <w:trPr>
          <w:trHeight w:val="255"/>
        </w:trPr>
        <w:tc>
          <w:tcPr>
            <w:tcW w:w="2977" w:type="dxa"/>
            <w:tcBorders>
              <w:top w:val="nil"/>
              <w:left w:val="nil"/>
              <w:bottom w:val="nil"/>
              <w:right w:val="nil"/>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For</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Against</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Withhold</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Total</w:t>
            </w:r>
          </w:p>
        </w:tc>
      </w:tr>
      <w:tr w:rsidR="00855B10" w:rsidTr="00177D2D">
        <w:trPr>
          <w:trHeight w:val="255"/>
        </w:trPr>
        <w:tc>
          <w:tcPr>
            <w:tcW w:w="2977" w:type="dxa"/>
            <w:tcBorders>
              <w:top w:val="single" w:sz="4" w:space="0" w:color="auto"/>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Anti</w:t>
            </w:r>
            <w:r>
              <w:rPr>
                <w:rFonts w:ascii="Verdana" w:eastAsia="Times New Roman" w:hAnsi="Verdana" w:cs="Arial"/>
                <w:color w:val="000000"/>
                <w:sz w:val="20"/>
                <w:szCs w:val="20"/>
                <w:lang w:eastAsia="en-GB"/>
              </w:rPr>
              <w:t>-</w:t>
            </w:r>
            <w:r w:rsidRPr="00635B6D">
              <w:rPr>
                <w:rFonts w:ascii="Verdana" w:eastAsia="Times New Roman" w:hAnsi="Verdana" w:cs="Arial"/>
                <w:color w:val="000000"/>
                <w:sz w:val="20"/>
                <w:szCs w:val="20"/>
                <w:lang w:eastAsia="en-GB"/>
              </w:rPr>
              <w:t>takeover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Capitalization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96</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98</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Director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258</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15</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278</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Non-Salary Compensation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80</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13</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93</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Preferred/Bondholder</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Reorg. and Mergers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60</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C24C2E" w:rsidP="00635B6D">
            <w:pPr>
              <w:spacing w:after="0" w:line="240" w:lineRule="auto"/>
              <w:jc w:val="center"/>
              <w:rPr>
                <w:rFonts w:ascii="Verdana" w:eastAsia="Times New Roman" w:hAnsi="Verdana" w:cs="Arial"/>
                <w:color w:val="000000"/>
                <w:sz w:val="20"/>
                <w:szCs w:val="20"/>
                <w:lang w:eastAsia="en-GB"/>
              </w:rPr>
            </w:pP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60</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Routine/Business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63</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2</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65</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SH-Compensation</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2</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SH-Director Related</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C24C2E" w:rsidP="00635B6D">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w:t>
            </w:r>
            <w:r>
              <w:rPr>
                <w:rFonts w:ascii="Verdana" w:eastAsia="Times New Roman" w:hAnsi="Verdana" w:cs="Arial"/>
                <w:color w:val="000000"/>
                <w:sz w:val="20"/>
                <w:szCs w:val="20"/>
                <w:lang w:eastAsia="en-GB"/>
              </w:rPr>
              <w:t>Soc.</w:t>
            </w:r>
            <w:r w:rsidRPr="00635B6D">
              <w:rPr>
                <w:rFonts w:ascii="Verdana" w:eastAsia="Times New Roman" w:hAnsi="Verdana" w:cs="Arial"/>
                <w:color w:val="000000"/>
                <w:sz w:val="20"/>
                <w:szCs w:val="20"/>
                <w:lang w:eastAsia="en-GB"/>
              </w:rPr>
              <w:t>/</w:t>
            </w:r>
            <w:r>
              <w:rPr>
                <w:rFonts w:ascii="Verdana" w:eastAsia="Times New Roman" w:hAnsi="Verdana" w:cs="Arial"/>
                <w:color w:val="000000"/>
                <w:sz w:val="20"/>
                <w:szCs w:val="20"/>
                <w:lang w:eastAsia="en-GB"/>
              </w:rPr>
              <w:t>Human Rights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1</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SH-Other/Miscellaneous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C24C2E" w:rsidP="00635B6D">
            <w:pPr>
              <w:spacing w:after="0" w:line="240" w:lineRule="auto"/>
              <w:jc w:val="center"/>
              <w:rPr>
                <w:rFonts w:ascii="Verdana" w:eastAsia="Times New Roman" w:hAnsi="Verdana" w:cs="Arial"/>
                <w:color w:val="000000"/>
                <w:sz w:val="20"/>
                <w:szCs w:val="20"/>
                <w:lang w:eastAsia="en-GB"/>
              </w:rPr>
            </w:pP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r>
              <w:rPr>
                <w:rFonts w:ascii="Verdana" w:eastAsia="Times New Roman" w:hAnsi="Verdana" w:cs="Arial"/>
                <w:color w:val="000000"/>
                <w:sz w:val="20"/>
                <w:szCs w:val="20"/>
                <w:lang w:eastAsia="en-GB"/>
              </w:rPr>
              <w:t>3</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w:t>
            </w:r>
          </w:p>
        </w:tc>
      </w:tr>
      <w:tr w:rsidR="00855B10" w:rsidTr="00177D2D">
        <w:trPr>
          <w:trHeight w:val="255"/>
        </w:trPr>
        <w:tc>
          <w:tcPr>
            <w:tcW w:w="2977"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SH-Routine/Business</w:t>
            </w:r>
          </w:p>
        </w:tc>
        <w:tc>
          <w:tcPr>
            <w:tcW w:w="99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1</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r>
              <w:rPr>
                <w:rFonts w:ascii="Verdana" w:eastAsia="Times New Roman" w:hAnsi="Verdana" w:cs="Arial"/>
                <w:color w:val="000000"/>
                <w:sz w:val="20"/>
                <w:szCs w:val="20"/>
                <w:lang w:eastAsia="en-GB"/>
              </w:rPr>
              <w:t>2</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3</w:t>
            </w:r>
          </w:p>
        </w:tc>
      </w:tr>
      <w:tr w:rsidR="00855B10" w:rsidTr="00177D2D">
        <w:trPr>
          <w:trHeight w:val="255"/>
        </w:trPr>
        <w:tc>
          <w:tcPr>
            <w:tcW w:w="2977" w:type="dxa"/>
            <w:tcBorders>
              <w:top w:val="nil"/>
              <w:left w:val="nil"/>
              <w:bottom w:val="nil"/>
              <w:right w:val="nil"/>
            </w:tcBorders>
            <w:shd w:val="clear" w:color="000000" w:fill="FFFFFF"/>
            <w:noWrap/>
            <w:hideMark/>
          </w:tcPr>
          <w:p w:rsidR="00177D2D" w:rsidRPr="00635B6D" w:rsidRDefault="00A73C70" w:rsidP="00635B6D">
            <w:pPr>
              <w:spacing w:after="0" w:line="240" w:lineRule="auto"/>
              <w:jc w:val="right"/>
              <w:rPr>
                <w:rFonts w:ascii="Verdana" w:eastAsia="Times New Roman" w:hAnsi="Verdana" w:cs="Arial"/>
                <w:color w:val="000000"/>
                <w:sz w:val="20"/>
                <w:szCs w:val="20"/>
                <w:lang w:eastAsia="en-GB"/>
              </w:rPr>
            </w:pPr>
            <w:r w:rsidRPr="00635B6D">
              <w:rPr>
                <w:rFonts w:ascii="Verdana" w:eastAsia="Times New Roman" w:hAnsi="Verdana" w:cs="Arial"/>
                <w:color w:val="000000"/>
                <w:sz w:val="20"/>
                <w:szCs w:val="20"/>
                <w:lang w:eastAsia="en-GB"/>
              </w:rPr>
              <w:t>Total</w:t>
            </w:r>
          </w:p>
        </w:tc>
        <w:tc>
          <w:tcPr>
            <w:tcW w:w="992" w:type="dxa"/>
            <w:tcBorders>
              <w:top w:val="nil"/>
              <w:left w:val="single" w:sz="4" w:space="0" w:color="auto"/>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563</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41</w:t>
            </w:r>
          </w:p>
        </w:tc>
        <w:tc>
          <w:tcPr>
            <w:tcW w:w="1102"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5</w:t>
            </w:r>
          </w:p>
        </w:tc>
        <w:tc>
          <w:tcPr>
            <w:tcW w:w="1134" w:type="dxa"/>
            <w:tcBorders>
              <w:top w:val="nil"/>
              <w:left w:val="nil"/>
              <w:bottom w:val="single" w:sz="4" w:space="0" w:color="auto"/>
              <w:right w:val="single" w:sz="4" w:space="0" w:color="auto"/>
            </w:tcBorders>
            <w:shd w:val="clear" w:color="000000" w:fill="FFFFFF"/>
            <w:noWrap/>
            <w:hideMark/>
          </w:tcPr>
          <w:p w:rsidR="00177D2D" w:rsidRPr="00635B6D" w:rsidRDefault="00A73C70" w:rsidP="00635B6D">
            <w:pPr>
              <w:spacing w:after="0" w:line="240" w:lineRule="auto"/>
              <w:jc w:val="cente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609</w:t>
            </w:r>
          </w:p>
        </w:tc>
      </w:tr>
    </w:tbl>
    <w:p w:rsidR="00635B6D" w:rsidRPr="00E365ED" w:rsidRDefault="00C24C2E" w:rsidP="00EA4636">
      <w:pPr>
        <w:autoSpaceDE w:val="0"/>
        <w:autoSpaceDN w:val="0"/>
        <w:adjustRightInd w:val="0"/>
        <w:spacing w:after="0"/>
        <w:rPr>
          <w:rFonts w:ascii="Verdana" w:hAnsi="Verdana" w:cs="Arial"/>
          <w:bCs/>
          <w:color w:val="183850" w:themeColor="text1"/>
          <w:sz w:val="20"/>
          <w:szCs w:val="20"/>
          <w:u w:val="single"/>
        </w:rPr>
      </w:pPr>
    </w:p>
    <w:p w:rsidR="006F5AD6" w:rsidRDefault="00A73C70" w:rsidP="006F5AD6">
      <w:pPr>
        <w:autoSpaceDE w:val="0"/>
        <w:autoSpaceDN w:val="0"/>
        <w:adjustRightInd w:val="0"/>
        <w:spacing w:after="0"/>
        <w:rPr>
          <w:rFonts w:ascii="Verdana" w:hAnsi="Verdana" w:cs="Arial"/>
          <w:bCs/>
          <w:sz w:val="20"/>
          <w:szCs w:val="20"/>
        </w:rPr>
      </w:pPr>
      <w:r w:rsidRPr="00635B6D">
        <w:rPr>
          <w:rFonts w:ascii="Verdana" w:hAnsi="Verdana" w:cs="Arial"/>
          <w:bCs/>
          <w:sz w:val="20"/>
          <w:szCs w:val="20"/>
        </w:rPr>
        <w:t>LPP</w:t>
      </w:r>
      <w:r>
        <w:rPr>
          <w:rFonts w:ascii="Verdana" w:hAnsi="Verdana" w:cs="Arial"/>
          <w:bCs/>
          <w:sz w:val="20"/>
          <w:szCs w:val="20"/>
        </w:rPr>
        <w:t xml:space="preserve">I </w:t>
      </w:r>
      <w:r w:rsidRPr="00635B6D">
        <w:rPr>
          <w:rFonts w:ascii="Verdana" w:hAnsi="Verdana" w:cs="Arial"/>
          <w:bCs/>
          <w:sz w:val="20"/>
          <w:szCs w:val="20"/>
        </w:rPr>
        <w:t xml:space="preserve">voted against management </w:t>
      </w:r>
      <w:r>
        <w:rPr>
          <w:rFonts w:ascii="Verdana" w:hAnsi="Verdana" w:cs="Arial"/>
          <w:bCs/>
          <w:sz w:val="20"/>
          <w:szCs w:val="20"/>
        </w:rPr>
        <w:t>proposals</w:t>
      </w:r>
      <w:r w:rsidRPr="00635B6D">
        <w:rPr>
          <w:rFonts w:ascii="Verdana" w:hAnsi="Verdana" w:cs="Arial"/>
          <w:bCs/>
          <w:sz w:val="20"/>
          <w:szCs w:val="20"/>
        </w:rPr>
        <w:t xml:space="preserve"> in </w:t>
      </w:r>
      <w:r>
        <w:rPr>
          <w:rFonts w:ascii="Verdana" w:hAnsi="Verdana" w:cs="Arial"/>
          <w:bCs/>
          <w:sz w:val="20"/>
          <w:szCs w:val="20"/>
        </w:rPr>
        <w:t>39</w:t>
      </w:r>
      <w:r w:rsidRPr="00635B6D">
        <w:rPr>
          <w:rFonts w:ascii="Verdana" w:hAnsi="Verdana" w:cs="Arial"/>
          <w:bCs/>
          <w:sz w:val="20"/>
          <w:szCs w:val="20"/>
        </w:rPr>
        <w:t xml:space="preserve"> instances</w:t>
      </w:r>
      <w:r>
        <w:rPr>
          <w:rFonts w:ascii="Verdana" w:hAnsi="Verdana" w:cs="Arial"/>
          <w:bCs/>
          <w:sz w:val="20"/>
          <w:szCs w:val="20"/>
        </w:rPr>
        <w:t xml:space="preserve">. </w:t>
      </w:r>
    </w:p>
    <w:p w:rsidR="00C571C1" w:rsidRPr="00C857CD" w:rsidRDefault="00A73C70" w:rsidP="00C857CD">
      <w:pPr>
        <w:autoSpaceDE w:val="0"/>
        <w:autoSpaceDN w:val="0"/>
        <w:adjustRightInd w:val="0"/>
        <w:spacing w:after="0"/>
        <w:rPr>
          <w:rFonts w:ascii="Verdana" w:hAnsi="Verdana" w:cs="Arial"/>
          <w:bCs/>
          <w:sz w:val="20"/>
          <w:szCs w:val="20"/>
        </w:rPr>
      </w:pPr>
      <w:r>
        <w:rPr>
          <w:rFonts w:ascii="Verdana" w:hAnsi="Verdana" w:cs="Arial"/>
          <w:bCs/>
          <w:sz w:val="20"/>
          <w:szCs w:val="20"/>
        </w:rPr>
        <w:t xml:space="preserve">This included </w:t>
      </w:r>
      <w:r w:rsidRPr="006F5AD6">
        <w:rPr>
          <w:rFonts w:ascii="Verdana" w:hAnsi="Verdana" w:cs="Arial"/>
          <w:bCs/>
          <w:sz w:val="20"/>
          <w:szCs w:val="20"/>
        </w:rPr>
        <w:t xml:space="preserve">opposing management nominations in the election / re-election of </w:t>
      </w:r>
      <w:r>
        <w:rPr>
          <w:rFonts w:ascii="Verdana" w:hAnsi="Verdana" w:cs="Arial"/>
          <w:bCs/>
          <w:sz w:val="20"/>
          <w:szCs w:val="20"/>
        </w:rPr>
        <w:t xml:space="preserve">9 </w:t>
      </w:r>
      <w:r w:rsidRPr="006F5AD6">
        <w:rPr>
          <w:rFonts w:ascii="Verdana" w:hAnsi="Verdana" w:cs="Arial"/>
          <w:bCs/>
          <w:sz w:val="20"/>
          <w:szCs w:val="20"/>
        </w:rPr>
        <w:t xml:space="preserve">directors. Voting reflected </w:t>
      </w:r>
      <w:r>
        <w:rPr>
          <w:rFonts w:ascii="Verdana" w:hAnsi="Verdana" w:cs="Arial"/>
          <w:bCs/>
          <w:sz w:val="20"/>
          <w:szCs w:val="20"/>
        </w:rPr>
        <w:t xml:space="preserve">concerns with </w:t>
      </w:r>
      <w:r w:rsidRPr="006F5AD6">
        <w:rPr>
          <w:rFonts w:ascii="Verdana" w:hAnsi="Verdana" w:cs="Arial"/>
          <w:bCs/>
          <w:sz w:val="20"/>
          <w:szCs w:val="20"/>
        </w:rPr>
        <w:t xml:space="preserve">the composition and independence of company </w:t>
      </w:r>
      <w:r w:rsidRPr="00C857CD">
        <w:rPr>
          <w:rFonts w:ascii="Verdana" w:hAnsi="Verdana" w:cs="Arial"/>
          <w:bCs/>
          <w:sz w:val="20"/>
          <w:szCs w:val="20"/>
        </w:rPr>
        <w:t xml:space="preserve">boards as a whole, and with the independence of individual Board members. Companies </w:t>
      </w:r>
      <w:r w:rsidRPr="00C857CD">
        <w:rPr>
          <w:rFonts w:ascii="Verdana" w:hAnsi="Verdana" w:cs="Arial"/>
          <w:bCs/>
          <w:sz w:val="20"/>
          <w:szCs w:val="20"/>
        </w:rPr>
        <w:lastRenderedPageBreak/>
        <w:t>involved included FirstRand (Diversified Financial Services) Harvey Norman (General Merchandise Stores) and Alibaba (Internet &amp; Direct Marketing Retail).</w:t>
      </w:r>
    </w:p>
    <w:p w:rsidR="0037355D" w:rsidRPr="00C857CD" w:rsidRDefault="00C24C2E" w:rsidP="00C857CD">
      <w:pPr>
        <w:pStyle w:val="treb"/>
        <w:numPr>
          <w:ilvl w:val="0"/>
          <w:numId w:val="0"/>
        </w:numPr>
        <w:spacing w:after="0"/>
        <w:rPr>
          <w:rFonts w:ascii="Verdana" w:hAnsi="Verdana"/>
          <w:b w:val="0"/>
          <w:sz w:val="20"/>
          <w:szCs w:val="20"/>
        </w:rPr>
      </w:pPr>
    </w:p>
    <w:p w:rsidR="00B11B8F" w:rsidRPr="00C857CD" w:rsidRDefault="00A73C70" w:rsidP="00C857CD">
      <w:pPr>
        <w:pStyle w:val="treb"/>
        <w:numPr>
          <w:ilvl w:val="0"/>
          <w:numId w:val="0"/>
        </w:numPr>
        <w:spacing w:after="0"/>
        <w:rPr>
          <w:rFonts w:ascii="Verdana" w:hAnsi="Verdana"/>
          <w:b w:val="0"/>
          <w:sz w:val="20"/>
          <w:szCs w:val="20"/>
        </w:rPr>
      </w:pPr>
      <w:r w:rsidRPr="00C857CD">
        <w:rPr>
          <w:rFonts w:ascii="Verdana" w:hAnsi="Verdana"/>
          <w:b w:val="0"/>
          <w:sz w:val="20"/>
          <w:szCs w:val="20"/>
        </w:rPr>
        <w:t xml:space="preserve">Management proposals on compensation arrangements prompted 13 opposition votes. These mainly reflected </w:t>
      </w:r>
      <w:r>
        <w:rPr>
          <w:rFonts w:ascii="Verdana" w:hAnsi="Verdana"/>
          <w:b w:val="0"/>
          <w:sz w:val="20"/>
          <w:szCs w:val="20"/>
        </w:rPr>
        <w:t>an</w:t>
      </w:r>
      <w:r w:rsidRPr="00C857CD">
        <w:rPr>
          <w:rFonts w:ascii="Verdana" w:hAnsi="Verdana"/>
          <w:b w:val="0"/>
          <w:sz w:val="20"/>
          <w:szCs w:val="20"/>
        </w:rPr>
        <w:t xml:space="preserve"> inadequate disclosure of information around performance condition</w:t>
      </w:r>
      <w:r>
        <w:rPr>
          <w:rFonts w:ascii="Verdana" w:hAnsi="Verdana"/>
          <w:b w:val="0"/>
          <w:sz w:val="20"/>
          <w:szCs w:val="20"/>
        </w:rPr>
        <w:t xml:space="preserve">s and </w:t>
      </w:r>
      <w:r w:rsidRPr="00C857CD">
        <w:rPr>
          <w:rFonts w:ascii="Verdana" w:hAnsi="Verdana"/>
          <w:b w:val="0"/>
          <w:sz w:val="20"/>
          <w:szCs w:val="20"/>
        </w:rPr>
        <w:t xml:space="preserve">the basis of sub-components within compensation calculations and </w:t>
      </w:r>
      <w:r>
        <w:rPr>
          <w:rFonts w:ascii="Verdana" w:hAnsi="Verdana"/>
          <w:b w:val="0"/>
          <w:sz w:val="20"/>
          <w:szCs w:val="20"/>
        </w:rPr>
        <w:t xml:space="preserve">questions about </w:t>
      </w:r>
      <w:r w:rsidRPr="00C857CD">
        <w:rPr>
          <w:rFonts w:ascii="Verdana" w:hAnsi="Verdana"/>
          <w:b w:val="0"/>
          <w:sz w:val="20"/>
          <w:szCs w:val="20"/>
        </w:rPr>
        <w:t xml:space="preserve">the alignment of incentives through </w:t>
      </w:r>
      <w:r>
        <w:rPr>
          <w:rFonts w:ascii="Verdana" w:hAnsi="Verdana"/>
          <w:b w:val="0"/>
          <w:sz w:val="20"/>
          <w:szCs w:val="20"/>
        </w:rPr>
        <w:t xml:space="preserve">the use of </w:t>
      </w:r>
      <w:r w:rsidRPr="00C857CD">
        <w:rPr>
          <w:rFonts w:ascii="Verdana" w:hAnsi="Verdana"/>
          <w:b w:val="0"/>
          <w:sz w:val="20"/>
          <w:szCs w:val="20"/>
        </w:rPr>
        <w:t>appropriate vesting periods.</w:t>
      </w:r>
    </w:p>
    <w:p w:rsidR="0037355D" w:rsidRPr="00C857CD" w:rsidRDefault="00C24C2E" w:rsidP="00C857CD">
      <w:pPr>
        <w:pStyle w:val="treb"/>
        <w:numPr>
          <w:ilvl w:val="0"/>
          <w:numId w:val="0"/>
        </w:numPr>
        <w:spacing w:after="0"/>
        <w:rPr>
          <w:rFonts w:ascii="Verdana" w:hAnsi="Verdana"/>
          <w:b w:val="0"/>
          <w:sz w:val="20"/>
          <w:szCs w:val="20"/>
        </w:rPr>
      </w:pPr>
    </w:p>
    <w:p w:rsidR="00C571C1" w:rsidRPr="00C857CD" w:rsidRDefault="00A73C70" w:rsidP="00C857CD">
      <w:pPr>
        <w:pStyle w:val="treb"/>
        <w:numPr>
          <w:ilvl w:val="0"/>
          <w:numId w:val="0"/>
        </w:numPr>
        <w:spacing w:after="0"/>
        <w:rPr>
          <w:rFonts w:ascii="Verdana" w:hAnsi="Verdana"/>
          <w:b w:val="0"/>
          <w:sz w:val="20"/>
          <w:szCs w:val="20"/>
        </w:rPr>
      </w:pPr>
      <w:r>
        <w:rPr>
          <w:rFonts w:ascii="Verdana" w:hAnsi="Verdana"/>
          <w:b w:val="0"/>
          <w:sz w:val="20"/>
          <w:szCs w:val="20"/>
        </w:rPr>
        <w:t xml:space="preserve">Most Australian companies hold their AGMs in October and November each year (Q4). </w:t>
      </w:r>
      <w:r w:rsidRPr="00C857CD">
        <w:rPr>
          <w:rFonts w:ascii="Verdana" w:hAnsi="Verdana"/>
          <w:b w:val="0"/>
          <w:sz w:val="20"/>
          <w:szCs w:val="20"/>
        </w:rPr>
        <w:t xml:space="preserve">The Australian Corporations Act requires listed companies to include an audited remuneration report in the annual report and to put their remuneration report to a shareholder vote at the AGM. </w:t>
      </w:r>
    </w:p>
    <w:p w:rsidR="00C571C1" w:rsidRPr="00C857CD" w:rsidRDefault="00C24C2E" w:rsidP="00C857CD">
      <w:pPr>
        <w:pStyle w:val="treb"/>
        <w:numPr>
          <w:ilvl w:val="0"/>
          <w:numId w:val="0"/>
        </w:numPr>
        <w:spacing w:after="0"/>
        <w:rPr>
          <w:rFonts w:ascii="Verdana" w:hAnsi="Verdana"/>
          <w:b w:val="0"/>
          <w:sz w:val="20"/>
          <w:szCs w:val="20"/>
        </w:rPr>
      </w:pPr>
    </w:p>
    <w:p w:rsidR="00C571C1" w:rsidRPr="00C857CD" w:rsidRDefault="00A73C70" w:rsidP="00C857CD">
      <w:pPr>
        <w:pStyle w:val="treb"/>
        <w:numPr>
          <w:ilvl w:val="0"/>
          <w:numId w:val="0"/>
        </w:numPr>
        <w:spacing w:after="0"/>
        <w:rPr>
          <w:rFonts w:ascii="Verdana" w:hAnsi="Verdana"/>
          <w:b w:val="0"/>
          <w:sz w:val="20"/>
          <w:szCs w:val="20"/>
        </w:rPr>
      </w:pPr>
      <w:r w:rsidRPr="00C857CD">
        <w:rPr>
          <w:rFonts w:ascii="Verdana" w:hAnsi="Verdana"/>
          <w:b w:val="0"/>
          <w:sz w:val="20"/>
          <w:szCs w:val="20"/>
        </w:rPr>
        <w:t>At National Australia Bank LPPI voted against the remuneration report because a new Variable Reward (VR) plan appeared excessively short-term (based on a one-year assessment of performance) and the quantum of rewards achievable had not been adjusted to appropriately reflect the higher certainty of receiving them under the revised approach.  (Result: 88% against).</w:t>
      </w:r>
    </w:p>
    <w:p w:rsidR="00C571C1" w:rsidRPr="00C857CD" w:rsidRDefault="00C24C2E" w:rsidP="00C857CD">
      <w:pPr>
        <w:pStyle w:val="treb"/>
        <w:numPr>
          <w:ilvl w:val="0"/>
          <w:numId w:val="0"/>
        </w:numPr>
        <w:spacing w:after="0"/>
        <w:rPr>
          <w:rFonts w:ascii="Verdana" w:hAnsi="Verdana"/>
          <w:b w:val="0"/>
          <w:sz w:val="20"/>
          <w:szCs w:val="20"/>
        </w:rPr>
      </w:pPr>
    </w:p>
    <w:p w:rsidR="00C571C1" w:rsidRPr="00C857CD" w:rsidRDefault="00A73C70" w:rsidP="00C857CD">
      <w:pPr>
        <w:pStyle w:val="treb"/>
        <w:numPr>
          <w:ilvl w:val="0"/>
          <w:numId w:val="0"/>
        </w:numPr>
        <w:spacing w:after="0"/>
        <w:rPr>
          <w:rFonts w:ascii="Verdana" w:hAnsi="Verdana"/>
          <w:b w:val="0"/>
          <w:sz w:val="20"/>
          <w:szCs w:val="20"/>
        </w:rPr>
      </w:pPr>
      <w:r w:rsidRPr="00C857CD">
        <w:rPr>
          <w:rFonts w:ascii="Verdana" w:hAnsi="Verdana"/>
          <w:b w:val="0"/>
          <w:sz w:val="20"/>
          <w:szCs w:val="20"/>
        </w:rPr>
        <w:t>At Telstra (Australia: Integrated Telecommunication Services) LPPI voted against the remuneration report due to the company not having adequately addressed shareholder concerns raised in the previous year regarding its remuneration practices. Issues include</w:t>
      </w:r>
      <w:r>
        <w:rPr>
          <w:rFonts w:ascii="Verdana" w:hAnsi="Verdana"/>
          <w:b w:val="0"/>
          <w:sz w:val="20"/>
          <w:szCs w:val="20"/>
        </w:rPr>
        <w:t>d</w:t>
      </w:r>
      <w:r w:rsidRPr="00C857CD">
        <w:rPr>
          <w:rFonts w:ascii="Verdana" w:hAnsi="Verdana"/>
          <w:b w:val="0"/>
          <w:sz w:val="20"/>
          <w:szCs w:val="20"/>
        </w:rPr>
        <w:t xml:space="preserve"> misalignment between executive pay and company performance which </w:t>
      </w:r>
      <w:r>
        <w:rPr>
          <w:rFonts w:ascii="Verdana" w:hAnsi="Verdana"/>
          <w:b w:val="0"/>
          <w:sz w:val="20"/>
          <w:szCs w:val="20"/>
        </w:rPr>
        <w:t>continue</w:t>
      </w:r>
      <w:r w:rsidRPr="00C857CD">
        <w:rPr>
          <w:rFonts w:ascii="Verdana" w:hAnsi="Verdana"/>
          <w:b w:val="0"/>
          <w:sz w:val="20"/>
          <w:szCs w:val="20"/>
        </w:rPr>
        <w:t xml:space="preserve"> despite the Board reporting the use of discretion to reduce outcomes on the basis of poor company performance and declining share price.  Sizable cash rights to two departing executives and an increase in the CEO's fixed remuneration from a level already higher than median were amongst the problems identified. (Result: 62% against).</w:t>
      </w:r>
    </w:p>
    <w:p w:rsidR="00C571C1" w:rsidRPr="00C857CD" w:rsidRDefault="00C24C2E" w:rsidP="00C857CD">
      <w:pPr>
        <w:pStyle w:val="treb"/>
        <w:numPr>
          <w:ilvl w:val="0"/>
          <w:numId w:val="0"/>
        </w:numPr>
        <w:spacing w:after="0"/>
        <w:rPr>
          <w:rFonts w:ascii="Verdana" w:hAnsi="Verdana"/>
          <w:b w:val="0"/>
          <w:sz w:val="20"/>
          <w:szCs w:val="20"/>
        </w:rPr>
      </w:pPr>
    </w:p>
    <w:p w:rsidR="00C571C1" w:rsidRPr="00C857CD" w:rsidRDefault="00A73C70" w:rsidP="00C857CD">
      <w:pPr>
        <w:pStyle w:val="treb"/>
        <w:numPr>
          <w:ilvl w:val="0"/>
          <w:numId w:val="0"/>
        </w:numPr>
        <w:spacing w:after="0"/>
        <w:rPr>
          <w:rFonts w:ascii="Verdana" w:hAnsi="Verdana"/>
          <w:b w:val="0"/>
          <w:sz w:val="20"/>
          <w:szCs w:val="20"/>
        </w:rPr>
      </w:pPr>
      <w:r w:rsidRPr="00C857CD">
        <w:rPr>
          <w:rFonts w:ascii="Verdana" w:hAnsi="Verdana"/>
          <w:b w:val="0"/>
          <w:sz w:val="20"/>
          <w:szCs w:val="20"/>
        </w:rPr>
        <w:t xml:space="preserve">At Oracle </w:t>
      </w:r>
      <w:r>
        <w:rPr>
          <w:rFonts w:ascii="Verdana" w:hAnsi="Verdana"/>
          <w:b w:val="0"/>
          <w:sz w:val="20"/>
          <w:szCs w:val="20"/>
        </w:rPr>
        <w:t xml:space="preserve">Corp </w:t>
      </w:r>
      <w:r w:rsidRPr="00C857CD">
        <w:rPr>
          <w:rFonts w:ascii="Verdana" w:hAnsi="Verdana"/>
          <w:b w:val="0"/>
          <w:sz w:val="20"/>
          <w:szCs w:val="20"/>
        </w:rPr>
        <w:t>(USA:</w:t>
      </w:r>
      <w:r>
        <w:rPr>
          <w:rFonts w:ascii="Verdana" w:hAnsi="Verdana"/>
          <w:b w:val="0"/>
          <w:sz w:val="20"/>
          <w:szCs w:val="20"/>
        </w:rPr>
        <w:t xml:space="preserve"> </w:t>
      </w:r>
      <w:r w:rsidRPr="00C857CD">
        <w:rPr>
          <w:rFonts w:ascii="Verdana" w:hAnsi="Verdana"/>
          <w:b w:val="0"/>
          <w:sz w:val="20"/>
          <w:szCs w:val="20"/>
        </w:rPr>
        <w:t>Systems Software) LPPI opposed Management on an advisory vote on executive officers' compensation. This reflect</w:t>
      </w:r>
      <w:r>
        <w:rPr>
          <w:rFonts w:ascii="Verdana" w:hAnsi="Verdana"/>
          <w:b w:val="0"/>
          <w:sz w:val="20"/>
          <w:szCs w:val="20"/>
        </w:rPr>
        <w:t>s</w:t>
      </w:r>
      <w:r w:rsidRPr="00C857CD">
        <w:rPr>
          <w:rFonts w:ascii="Verdana" w:hAnsi="Verdana"/>
          <w:b w:val="0"/>
          <w:sz w:val="20"/>
          <w:szCs w:val="20"/>
        </w:rPr>
        <w:t xml:space="preserve"> that the board ha</w:t>
      </w:r>
      <w:r>
        <w:rPr>
          <w:rFonts w:ascii="Verdana" w:hAnsi="Verdana"/>
          <w:b w:val="0"/>
          <w:sz w:val="20"/>
          <w:szCs w:val="20"/>
        </w:rPr>
        <w:t>s</w:t>
      </w:r>
      <w:r w:rsidRPr="00C857CD">
        <w:rPr>
          <w:rFonts w:ascii="Verdana" w:hAnsi="Verdana"/>
          <w:b w:val="0"/>
          <w:sz w:val="20"/>
          <w:szCs w:val="20"/>
        </w:rPr>
        <w:t xml:space="preserve"> not been sufficiently responsive to </w:t>
      </w:r>
      <w:r>
        <w:rPr>
          <w:rFonts w:ascii="Verdana" w:hAnsi="Verdana"/>
          <w:b w:val="0"/>
          <w:sz w:val="20"/>
          <w:szCs w:val="20"/>
        </w:rPr>
        <w:t>s</w:t>
      </w:r>
      <w:r w:rsidRPr="00C857CD">
        <w:rPr>
          <w:rFonts w:ascii="Verdana" w:hAnsi="Verdana"/>
          <w:b w:val="0"/>
          <w:sz w:val="20"/>
          <w:szCs w:val="20"/>
        </w:rPr>
        <w:t>hareholder concerns expressed through six consecutive years of failed say-on-pay votes. The continuation of front-loaded equity awards will continue to translate into high pay (relative to peers) and the award structure limits the ability to adjust pay over the upcoming five years. (Result: 46% against).</w:t>
      </w:r>
    </w:p>
    <w:p w:rsidR="00C571C1" w:rsidRDefault="00C24C2E" w:rsidP="00C571C1">
      <w:pPr>
        <w:autoSpaceDE w:val="0"/>
        <w:autoSpaceDN w:val="0"/>
        <w:adjustRightInd w:val="0"/>
        <w:spacing w:after="0"/>
        <w:rPr>
          <w:rFonts w:ascii="Verdana" w:hAnsi="Verdana" w:cs="Arial"/>
          <w:bCs/>
          <w:sz w:val="20"/>
          <w:szCs w:val="20"/>
        </w:rPr>
      </w:pPr>
    </w:p>
    <w:p w:rsidR="00C571C1" w:rsidRDefault="00A73C70" w:rsidP="00177D2D">
      <w:pPr>
        <w:autoSpaceDE w:val="0"/>
        <w:autoSpaceDN w:val="0"/>
        <w:adjustRightInd w:val="0"/>
        <w:spacing w:after="0"/>
        <w:rPr>
          <w:rFonts w:ascii="Verdana" w:hAnsi="Verdana" w:cs="Arial"/>
          <w:bCs/>
          <w:sz w:val="20"/>
          <w:szCs w:val="20"/>
        </w:rPr>
      </w:pPr>
      <w:r w:rsidRPr="00635B6D">
        <w:rPr>
          <w:rFonts w:ascii="Verdana" w:hAnsi="Verdana" w:cs="Arial"/>
          <w:bCs/>
          <w:sz w:val="20"/>
          <w:szCs w:val="20"/>
        </w:rPr>
        <w:t>LPP</w:t>
      </w:r>
      <w:r>
        <w:rPr>
          <w:rFonts w:ascii="Verdana" w:hAnsi="Verdana" w:cs="Arial"/>
          <w:bCs/>
          <w:sz w:val="20"/>
          <w:szCs w:val="20"/>
        </w:rPr>
        <w:t>I</w:t>
      </w:r>
      <w:r w:rsidRPr="00635B6D">
        <w:rPr>
          <w:rFonts w:ascii="Verdana" w:hAnsi="Verdana" w:cs="Arial"/>
          <w:bCs/>
          <w:sz w:val="20"/>
          <w:szCs w:val="20"/>
        </w:rPr>
        <w:t xml:space="preserve"> supported </w:t>
      </w:r>
      <w:r>
        <w:rPr>
          <w:rFonts w:ascii="Verdana" w:hAnsi="Verdana" w:cs="Arial"/>
          <w:bCs/>
          <w:sz w:val="20"/>
          <w:szCs w:val="20"/>
        </w:rPr>
        <w:t>6</w:t>
      </w:r>
      <w:r w:rsidRPr="00635B6D">
        <w:rPr>
          <w:rFonts w:ascii="Verdana" w:hAnsi="Verdana" w:cs="Arial"/>
          <w:bCs/>
          <w:sz w:val="20"/>
          <w:szCs w:val="20"/>
        </w:rPr>
        <w:t xml:space="preserve"> shareholder proposals across </w:t>
      </w:r>
      <w:r>
        <w:rPr>
          <w:rFonts w:ascii="Verdana" w:hAnsi="Verdana" w:cs="Arial"/>
          <w:bCs/>
          <w:sz w:val="20"/>
          <w:szCs w:val="20"/>
        </w:rPr>
        <w:t>3</w:t>
      </w:r>
      <w:r w:rsidRPr="00635B6D">
        <w:rPr>
          <w:rFonts w:ascii="Verdana" w:hAnsi="Verdana" w:cs="Arial"/>
          <w:bCs/>
          <w:sz w:val="20"/>
          <w:szCs w:val="20"/>
        </w:rPr>
        <w:t xml:space="preserve"> company meetings in Q</w:t>
      </w:r>
      <w:r>
        <w:rPr>
          <w:rFonts w:ascii="Verdana" w:hAnsi="Verdana" w:cs="Arial"/>
          <w:bCs/>
          <w:sz w:val="20"/>
          <w:szCs w:val="20"/>
        </w:rPr>
        <w:t>4, on what are now familiar themes related to improved governance and greater transparency</w:t>
      </w:r>
      <w:r w:rsidRPr="00635B6D">
        <w:rPr>
          <w:rFonts w:ascii="Verdana" w:hAnsi="Verdana" w:cs="Arial"/>
          <w:bCs/>
          <w:sz w:val="20"/>
          <w:szCs w:val="20"/>
        </w:rPr>
        <w:t xml:space="preserve">. </w:t>
      </w:r>
    </w:p>
    <w:p w:rsidR="00C571C1" w:rsidRDefault="00A73C70" w:rsidP="00177D2D">
      <w:pPr>
        <w:autoSpaceDE w:val="0"/>
        <w:autoSpaceDN w:val="0"/>
        <w:adjustRightInd w:val="0"/>
        <w:spacing w:after="0"/>
        <w:rPr>
          <w:rFonts w:ascii="Verdana" w:hAnsi="Verdana" w:cs="Arial"/>
          <w:bCs/>
          <w:sz w:val="20"/>
          <w:szCs w:val="20"/>
        </w:rPr>
      </w:pPr>
      <w:r>
        <w:rPr>
          <w:rFonts w:ascii="Verdana" w:hAnsi="Verdana" w:cs="Arial"/>
          <w:bCs/>
          <w:sz w:val="20"/>
          <w:szCs w:val="20"/>
        </w:rPr>
        <w:t xml:space="preserve">Four of the six resolutions were at the Oracle AGM where the requirements shareholder proposals made of the company were as follows: </w:t>
      </w:r>
    </w:p>
    <w:p w:rsidR="00C571C1" w:rsidRDefault="00C24C2E" w:rsidP="00177D2D">
      <w:pPr>
        <w:autoSpaceDE w:val="0"/>
        <w:autoSpaceDN w:val="0"/>
        <w:adjustRightInd w:val="0"/>
        <w:spacing w:after="0"/>
        <w:rPr>
          <w:rFonts w:ascii="Verdana" w:hAnsi="Verdana" w:cs="Arial"/>
          <w:bCs/>
          <w:sz w:val="20"/>
          <w:szCs w:val="20"/>
        </w:rPr>
      </w:pPr>
    </w:p>
    <w:p w:rsidR="00177D2D" w:rsidRPr="00C571C1" w:rsidRDefault="00A73C70" w:rsidP="00C857CD">
      <w:pPr>
        <w:pStyle w:val="ListParagraph"/>
        <w:numPr>
          <w:ilvl w:val="0"/>
          <w:numId w:val="4"/>
        </w:numPr>
        <w:autoSpaceDE w:val="0"/>
        <w:autoSpaceDN w:val="0"/>
        <w:adjustRightInd w:val="0"/>
        <w:spacing w:after="0"/>
        <w:ind w:left="426" w:hanging="426"/>
        <w:rPr>
          <w:rFonts w:ascii="Verdana" w:hAnsi="Verdana" w:cs="Arial"/>
          <w:bCs/>
          <w:sz w:val="20"/>
          <w:szCs w:val="20"/>
        </w:rPr>
      </w:pPr>
      <w:r w:rsidRPr="00C571C1">
        <w:rPr>
          <w:rFonts w:ascii="Verdana" w:hAnsi="Verdana" w:cs="Arial"/>
          <w:bCs/>
          <w:sz w:val="20"/>
          <w:szCs w:val="20"/>
        </w:rPr>
        <w:t>Provide a Report on Gender Pay Gap (Result: 39% support)</w:t>
      </w:r>
    </w:p>
    <w:p w:rsidR="00C571C1" w:rsidRPr="00C571C1" w:rsidRDefault="00A73C70" w:rsidP="00C857CD">
      <w:pPr>
        <w:pStyle w:val="ListParagraph"/>
        <w:numPr>
          <w:ilvl w:val="0"/>
          <w:numId w:val="4"/>
        </w:numPr>
        <w:autoSpaceDE w:val="0"/>
        <w:autoSpaceDN w:val="0"/>
        <w:adjustRightInd w:val="0"/>
        <w:spacing w:after="0"/>
        <w:ind w:left="426" w:hanging="426"/>
        <w:rPr>
          <w:rFonts w:ascii="Verdana" w:hAnsi="Verdana" w:cs="Arial"/>
          <w:bCs/>
          <w:sz w:val="20"/>
          <w:szCs w:val="20"/>
        </w:rPr>
      </w:pPr>
      <w:r w:rsidRPr="00C571C1">
        <w:rPr>
          <w:rFonts w:ascii="Verdana" w:hAnsi="Verdana" w:cs="Arial"/>
          <w:bCs/>
          <w:sz w:val="20"/>
          <w:szCs w:val="20"/>
        </w:rPr>
        <w:t>Provide a Report on Political Contributions (Result: 21% support)</w:t>
      </w:r>
    </w:p>
    <w:p w:rsidR="00C571C1" w:rsidRPr="00C571C1" w:rsidRDefault="00A73C70" w:rsidP="00C857CD">
      <w:pPr>
        <w:pStyle w:val="ListParagraph"/>
        <w:numPr>
          <w:ilvl w:val="0"/>
          <w:numId w:val="4"/>
        </w:numPr>
        <w:autoSpaceDE w:val="0"/>
        <w:autoSpaceDN w:val="0"/>
        <w:adjustRightInd w:val="0"/>
        <w:spacing w:after="0"/>
        <w:ind w:left="426" w:hanging="426"/>
        <w:rPr>
          <w:rFonts w:ascii="Verdana" w:hAnsi="Verdana" w:cs="Arial"/>
          <w:bCs/>
          <w:sz w:val="20"/>
          <w:szCs w:val="20"/>
        </w:rPr>
      </w:pPr>
      <w:r w:rsidRPr="00C571C1">
        <w:rPr>
          <w:rFonts w:ascii="Verdana" w:hAnsi="Verdana" w:cs="Arial"/>
          <w:bCs/>
          <w:sz w:val="20"/>
          <w:szCs w:val="20"/>
        </w:rPr>
        <w:t>Provide a Report on Lobbying Payments and Policy (Result: 27% support)</w:t>
      </w:r>
    </w:p>
    <w:p w:rsidR="00C571C1" w:rsidRPr="00C571C1" w:rsidRDefault="00A73C70" w:rsidP="00C857CD">
      <w:pPr>
        <w:pStyle w:val="ListParagraph"/>
        <w:numPr>
          <w:ilvl w:val="0"/>
          <w:numId w:val="4"/>
        </w:numPr>
        <w:autoSpaceDE w:val="0"/>
        <w:autoSpaceDN w:val="0"/>
        <w:adjustRightInd w:val="0"/>
        <w:spacing w:after="0"/>
        <w:ind w:left="426" w:hanging="426"/>
        <w:rPr>
          <w:rFonts w:ascii="Verdana" w:hAnsi="Verdana" w:cs="Arial"/>
          <w:bCs/>
          <w:sz w:val="20"/>
          <w:szCs w:val="20"/>
        </w:rPr>
      </w:pPr>
      <w:r w:rsidRPr="00C571C1">
        <w:rPr>
          <w:rFonts w:ascii="Verdana" w:hAnsi="Verdana" w:cs="Arial"/>
          <w:bCs/>
          <w:sz w:val="20"/>
          <w:szCs w:val="20"/>
        </w:rPr>
        <w:t>Adopt a Policy Requiring the Chair of the Board to be an Independent Member of the Board (Result: 30% support)</w:t>
      </w:r>
    </w:p>
    <w:p w:rsidR="00C571C1" w:rsidRDefault="00C24C2E" w:rsidP="00177D2D">
      <w:pPr>
        <w:autoSpaceDE w:val="0"/>
        <w:autoSpaceDN w:val="0"/>
        <w:adjustRightInd w:val="0"/>
        <w:spacing w:after="0"/>
        <w:rPr>
          <w:rFonts w:ascii="Verdana" w:hAnsi="Verdana" w:cs="Arial"/>
          <w:bCs/>
          <w:sz w:val="20"/>
          <w:szCs w:val="20"/>
        </w:rPr>
      </w:pPr>
    </w:p>
    <w:p w:rsidR="00C571C1" w:rsidRPr="003606C9" w:rsidRDefault="00A73C70" w:rsidP="003606C9">
      <w:pPr>
        <w:pStyle w:val="treb"/>
        <w:numPr>
          <w:ilvl w:val="0"/>
          <w:numId w:val="0"/>
        </w:numPr>
        <w:spacing w:after="0"/>
        <w:rPr>
          <w:rFonts w:ascii="Verdana" w:hAnsi="Verdana"/>
          <w:b w:val="0"/>
          <w:sz w:val="20"/>
          <w:szCs w:val="20"/>
        </w:rPr>
      </w:pPr>
      <w:r w:rsidRPr="003606C9">
        <w:rPr>
          <w:rFonts w:ascii="Verdana" w:hAnsi="Verdana"/>
          <w:b w:val="0"/>
          <w:sz w:val="20"/>
          <w:szCs w:val="20"/>
        </w:rPr>
        <w:t xml:space="preserve">At Woolworth Group (Australia: Food &amp; Staples Retailer) the AGM </w:t>
      </w:r>
      <w:r>
        <w:rPr>
          <w:rFonts w:ascii="Verdana" w:hAnsi="Verdana"/>
          <w:b w:val="0"/>
          <w:sz w:val="20"/>
          <w:szCs w:val="20"/>
        </w:rPr>
        <w:t xml:space="preserve">was due to </w:t>
      </w:r>
      <w:r w:rsidRPr="003606C9">
        <w:rPr>
          <w:rFonts w:ascii="Verdana" w:hAnsi="Verdana"/>
          <w:b w:val="0"/>
          <w:sz w:val="20"/>
          <w:szCs w:val="20"/>
        </w:rPr>
        <w:t xml:space="preserve">receive a shareholder resolution on human rights reporting. The proposal asked the company to report on its process for identifying and addressing adverse human rights impacts in its operations and its supply chains. While the company has made progress in its policy </w:t>
      </w:r>
      <w:r w:rsidRPr="003606C9">
        <w:rPr>
          <w:rFonts w:ascii="Verdana" w:hAnsi="Verdana"/>
          <w:b w:val="0"/>
          <w:sz w:val="20"/>
          <w:szCs w:val="20"/>
        </w:rPr>
        <w:lastRenderedPageBreak/>
        <w:t xml:space="preserve">regarding its apparel supply chain, it has made </w:t>
      </w:r>
      <w:r>
        <w:rPr>
          <w:rFonts w:ascii="Verdana" w:hAnsi="Verdana"/>
          <w:b w:val="0"/>
          <w:sz w:val="20"/>
          <w:szCs w:val="20"/>
        </w:rPr>
        <w:t xml:space="preserve">more </w:t>
      </w:r>
      <w:r w:rsidRPr="003606C9">
        <w:rPr>
          <w:rFonts w:ascii="Verdana" w:hAnsi="Verdana"/>
          <w:b w:val="0"/>
          <w:sz w:val="20"/>
          <w:szCs w:val="20"/>
        </w:rPr>
        <w:t>limited progress in policy (and implementation) regarding its agricultural supply chain, despite reported controversies. LPPI supported a proposal which seeks to strengthen Woolworths' commitment to human rights, as well as improve its oversight mechanisms, to help safeguard the company's reputation and long-term shareholder value.</w:t>
      </w:r>
    </w:p>
    <w:p w:rsidR="003606C9" w:rsidRDefault="00C24C2E" w:rsidP="003606C9">
      <w:pPr>
        <w:pStyle w:val="treb"/>
        <w:numPr>
          <w:ilvl w:val="0"/>
          <w:numId w:val="0"/>
        </w:numPr>
        <w:spacing w:after="0"/>
        <w:rPr>
          <w:rFonts w:ascii="Verdana" w:hAnsi="Verdana"/>
          <w:b w:val="0"/>
          <w:sz w:val="20"/>
          <w:szCs w:val="20"/>
        </w:rPr>
      </w:pPr>
    </w:p>
    <w:p w:rsidR="001A0601" w:rsidRPr="003606C9" w:rsidRDefault="00A73C70" w:rsidP="003606C9">
      <w:pPr>
        <w:pStyle w:val="treb"/>
        <w:numPr>
          <w:ilvl w:val="0"/>
          <w:numId w:val="0"/>
        </w:numPr>
        <w:spacing w:after="0"/>
        <w:rPr>
          <w:rFonts w:ascii="Verdana" w:hAnsi="Verdana"/>
          <w:b w:val="0"/>
          <w:sz w:val="20"/>
          <w:szCs w:val="20"/>
        </w:rPr>
      </w:pPr>
      <w:r w:rsidRPr="003606C9">
        <w:rPr>
          <w:rFonts w:ascii="Verdana" w:hAnsi="Verdana"/>
          <w:b w:val="0"/>
          <w:sz w:val="20"/>
          <w:szCs w:val="20"/>
        </w:rPr>
        <w:t xml:space="preserve">The proposer (Australian Centre for Corporate Responsibility) </w:t>
      </w:r>
      <w:r>
        <w:rPr>
          <w:rFonts w:ascii="Verdana" w:hAnsi="Verdana"/>
          <w:b w:val="0"/>
          <w:sz w:val="20"/>
          <w:szCs w:val="20"/>
        </w:rPr>
        <w:t xml:space="preserve">has </w:t>
      </w:r>
      <w:r w:rsidRPr="003606C9">
        <w:rPr>
          <w:rFonts w:ascii="Verdana" w:hAnsi="Verdana"/>
          <w:b w:val="0"/>
          <w:sz w:val="20"/>
          <w:szCs w:val="20"/>
        </w:rPr>
        <w:t>report</w:t>
      </w:r>
      <w:r>
        <w:rPr>
          <w:rFonts w:ascii="Verdana" w:hAnsi="Verdana"/>
          <w:b w:val="0"/>
          <w:sz w:val="20"/>
          <w:szCs w:val="20"/>
        </w:rPr>
        <w:t>ed</w:t>
      </w:r>
      <w:r w:rsidRPr="003606C9">
        <w:rPr>
          <w:rFonts w:ascii="Verdana" w:hAnsi="Verdana"/>
          <w:b w:val="0"/>
          <w:sz w:val="20"/>
          <w:szCs w:val="20"/>
        </w:rPr>
        <w:t xml:space="preserve"> that proxy votes cast ahead of the meeting </w:t>
      </w:r>
      <w:r>
        <w:rPr>
          <w:rFonts w:ascii="Verdana" w:hAnsi="Verdana"/>
          <w:b w:val="0"/>
          <w:sz w:val="20"/>
          <w:szCs w:val="20"/>
        </w:rPr>
        <w:t xml:space="preserve">were </w:t>
      </w:r>
      <w:r w:rsidRPr="003606C9">
        <w:rPr>
          <w:rFonts w:ascii="Verdana" w:hAnsi="Verdana"/>
          <w:b w:val="0"/>
          <w:sz w:val="20"/>
          <w:szCs w:val="20"/>
        </w:rPr>
        <w:t>signall</w:t>
      </w:r>
      <w:r>
        <w:rPr>
          <w:rFonts w:ascii="Verdana" w:hAnsi="Verdana"/>
          <w:b w:val="0"/>
          <w:sz w:val="20"/>
          <w:szCs w:val="20"/>
        </w:rPr>
        <w:t>ing</w:t>
      </w:r>
      <w:r w:rsidRPr="003606C9">
        <w:rPr>
          <w:rFonts w:ascii="Verdana" w:hAnsi="Verdana"/>
          <w:b w:val="0"/>
          <w:sz w:val="20"/>
          <w:szCs w:val="20"/>
        </w:rPr>
        <w:t xml:space="preserve"> 14% support but, after commit</w:t>
      </w:r>
      <w:r>
        <w:rPr>
          <w:rFonts w:ascii="Verdana" w:hAnsi="Verdana"/>
          <w:b w:val="0"/>
          <w:sz w:val="20"/>
          <w:szCs w:val="20"/>
        </w:rPr>
        <w:t>ting</w:t>
      </w:r>
      <w:r w:rsidRPr="003606C9">
        <w:rPr>
          <w:rFonts w:ascii="Verdana" w:hAnsi="Verdana"/>
          <w:b w:val="0"/>
          <w:sz w:val="20"/>
          <w:szCs w:val="20"/>
        </w:rPr>
        <w:t xml:space="preserve"> to </w:t>
      </w:r>
      <w:r>
        <w:rPr>
          <w:rFonts w:ascii="Verdana" w:hAnsi="Verdana"/>
          <w:b w:val="0"/>
          <w:sz w:val="20"/>
          <w:szCs w:val="20"/>
        </w:rPr>
        <w:t>work</w:t>
      </w:r>
      <w:r w:rsidRPr="003606C9">
        <w:rPr>
          <w:rFonts w:ascii="Verdana" w:hAnsi="Verdana"/>
          <w:b w:val="0"/>
          <w:sz w:val="20"/>
          <w:szCs w:val="20"/>
        </w:rPr>
        <w:t xml:space="preserve"> with ACCR, the resolution was withdrawn by the company and </w:t>
      </w:r>
      <w:r>
        <w:rPr>
          <w:rFonts w:ascii="Verdana" w:hAnsi="Verdana"/>
          <w:b w:val="0"/>
          <w:sz w:val="20"/>
          <w:szCs w:val="20"/>
        </w:rPr>
        <w:t xml:space="preserve">was </w:t>
      </w:r>
      <w:r w:rsidRPr="003606C9">
        <w:rPr>
          <w:rFonts w:ascii="Verdana" w:hAnsi="Verdana"/>
          <w:b w:val="0"/>
          <w:sz w:val="20"/>
          <w:szCs w:val="20"/>
        </w:rPr>
        <w:t>not put to a vote at the AGM.</w:t>
      </w:r>
    </w:p>
    <w:p w:rsidR="001A0601" w:rsidRPr="003606C9" w:rsidRDefault="00C24C2E" w:rsidP="003606C9">
      <w:pPr>
        <w:pStyle w:val="treb"/>
        <w:numPr>
          <w:ilvl w:val="0"/>
          <w:numId w:val="0"/>
        </w:numPr>
        <w:spacing w:after="0"/>
        <w:rPr>
          <w:rFonts w:ascii="Verdana" w:hAnsi="Verdana"/>
          <w:b w:val="0"/>
          <w:sz w:val="20"/>
          <w:szCs w:val="20"/>
        </w:rPr>
      </w:pPr>
    </w:p>
    <w:p w:rsidR="00177D2D" w:rsidRPr="00DE0A23" w:rsidRDefault="00A73C70" w:rsidP="00DE0A23">
      <w:pPr>
        <w:pStyle w:val="treb"/>
        <w:numPr>
          <w:ilvl w:val="0"/>
          <w:numId w:val="0"/>
        </w:numPr>
        <w:spacing w:after="0"/>
        <w:rPr>
          <w:rFonts w:ascii="Verdana" w:hAnsi="Verdana"/>
          <w:b w:val="0"/>
          <w:sz w:val="20"/>
          <w:szCs w:val="20"/>
        </w:rPr>
      </w:pPr>
      <w:r w:rsidRPr="003606C9">
        <w:rPr>
          <w:rFonts w:ascii="Verdana" w:hAnsi="Verdana"/>
          <w:b w:val="0"/>
          <w:sz w:val="20"/>
          <w:szCs w:val="20"/>
        </w:rPr>
        <w:t xml:space="preserve">Members can view details of shareholder voting for all meetings via the LPP website where quarterly reports for the GEF are made publicly available. </w:t>
      </w:r>
    </w:p>
    <w:p w:rsidR="00B7162D" w:rsidRPr="008763F3" w:rsidRDefault="00C24C2E" w:rsidP="00177D2D">
      <w:pPr>
        <w:spacing w:after="0"/>
        <w:rPr>
          <w:rFonts w:ascii="Verdana" w:hAnsi="Verdana"/>
          <w:snapToGrid w:val="0"/>
          <w:color w:val="0070C0"/>
          <w:sz w:val="20"/>
          <w:szCs w:val="20"/>
        </w:rPr>
      </w:pPr>
      <w:hyperlink r:id="rId9" w:history="1">
        <w:r w:rsidR="00A73C70" w:rsidRPr="008763F3">
          <w:rPr>
            <w:rFonts w:ascii="Verdana" w:hAnsi="Verdana"/>
            <w:snapToGrid w:val="0"/>
            <w:color w:val="0070C0"/>
            <w:sz w:val="20"/>
            <w:szCs w:val="20"/>
          </w:rPr>
          <w:t>https://www.localpensionspartnership.org.uk/what-we-do/investment-management</w:t>
        </w:r>
      </w:hyperlink>
    </w:p>
    <w:p w:rsidR="00177D2D" w:rsidRPr="00F23661" w:rsidRDefault="00C24C2E" w:rsidP="003B4083">
      <w:pPr>
        <w:pStyle w:val="treb"/>
        <w:numPr>
          <w:ilvl w:val="0"/>
          <w:numId w:val="0"/>
        </w:numPr>
        <w:spacing w:after="0"/>
        <w:rPr>
          <w:rFonts w:ascii="Verdana" w:hAnsi="Verdana"/>
          <w:color w:val="54BBAB" w:themeColor="text2"/>
          <w:sz w:val="20"/>
          <w:szCs w:val="20"/>
        </w:rPr>
      </w:pPr>
    </w:p>
    <w:p w:rsidR="00197BA3" w:rsidRPr="00F23661" w:rsidRDefault="00A73C70" w:rsidP="00C857CD">
      <w:pPr>
        <w:pStyle w:val="treb"/>
        <w:numPr>
          <w:ilvl w:val="0"/>
          <w:numId w:val="2"/>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RDefault="00C24C2E"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177D2D" w:rsidRDefault="00A73C70" w:rsidP="00635E0B">
      <w:pPr>
        <w:autoSpaceDE w:val="0"/>
        <w:autoSpaceDN w:val="0"/>
        <w:adjustRightInd w:val="0"/>
        <w:spacing w:after="0"/>
        <w:rPr>
          <w:rFonts w:ascii="Verdana" w:hAnsi="Verdana" w:cs="Arial"/>
          <w:bCs/>
          <w:sz w:val="20"/>
          <w:szCs w:val="20"/>
        </w:rPr>
      </w:pPr>
      <w:r w:rsidRPr="00177D2D">
        <w:rPr>
          <w:rFonts w:ascii="Verdana" w:hAnsi="Verdana" w:cs="Arial"/>
          <w:bCs/>
          <w:sz w:val="20"/>
          <w:szCs w:val="20"/>
        </w:rPr>
        <w:t>LPPI regularly participates in collaborations which aim to make progress on commonly held issues by co-ordinating the efforts of multiple investors. Key partners include the Local Authority Pension Fund Forum (LAPFF) the Pensions and Lifetime Savings Association (PLSA) the Principles of Responsible Investment (PRI) the Institutional Investor Group on Climate Change (IIGCC) the LGPS Cross Pool RI Group, and the UK Pension Scheme RI Roundtable.</w:t>
      </w:r>
    </w:p>
    <w:p w:rsidR="008A00BF" w:rsidRDefault="00C24C2E" w:rsidP="00635E0B">
      <w:pPr>
        <w:autoSpaceDE w:val="0"/>
        <w:autoSpaceDN w:val="0"/>
        <w:adjustRightInd w:val="0"/>
        <w:spacing w:after="0"/>
        <w:rPr>
          <w:rFonts w:ascii="Verdana" w:hAnsi="Verdana" w:cs="Arial"/>
          <w:bCs/>
          <w:color w:val="183850" w:themeColor="text1"/>
          <w:sz w:val="20"/>
          <w:szCs w:val="20"/>
        </w:rPr>
      </w:pPr>
    </w:p>
    <w:p w:rsidR="00705972" w:rsidRPr="00177D2D" w:rsidRDefault="00A73C70" w:rsidP="00635E0B">
      <w:pPr>
        <w:autoSpaceDE w:val="0"/>
        <w:autoSpaceDN w:val="0"/>
        <w:adjustRightInd w:val="0"/>
        <w:spacing w:after="0"/>
        <w:rPr>
          <w:rFonts w:ascii="Verdana" w:hAnsi="Verdana" w:cs="Arial"/>
          <w:b/>
          <w:bCs/>
          <w:color w:val="0C1B27" w:themeColor="text1" w:themeShade="80"/>
          <w:sz w:val="20"/>
          <w:szCs w:val="20"/>
        </w:rPr>
      </w:pPr>
      <w:r w:rsidRPr="00177D2D">
        <w:rPr>
          <w:rFonts w:ascii="Verdana" w:hAnsi="Verdana" w:cs="Arial"/>
          <w:b/>
          <w:bCs/>
          <w:color w:val="0C1B27" w:themeColor="text1" w:themeShade="80"/>
          <w:sz w:val="20"/>
          <w:szCs w:val="20"/>
        </w:rPr>
        <w:t>LAPFF</w:t>
      </w:r>
    </w:p>
    <w:p w:rsidR="007A6D0C" w:rsidRDefault="00C24C2E" w:rsidP="00635E0B">
      <w:pPr>
        <w:autoSpaceDE w:val="0"/>
        <w:autoSpaceDN w:val="0"/>
        <w:adjustRightInd w:val="0"/>
        <w:spacing w:after="0"/>
        <w:rPr>
          <w:rFonts w:ascii="Verdana" w:hAnsi="Verdana" w:cs="Arial"/>
          <w:bCs/>
          <w:color w:val="183850" w:themeColor="text1"/>
          <w:sz w:val="20"/>
          <w:szCs w:val="20"/>
        </w:rPr>
      </w:pPr>
    </w:p>
    <w:p w:rsidR="00C857CD" w:rsidRPr="00C857CD" w:rsidRDefault="00A73C70" w:rsidP="00C857CD">
      <w:pPr>
        <w:spacing w:after="0"/>
        <w:rPr>
          <w:rFonts w:ascii="Verdana" w:hAnsi="Verdana"/>
          <w:sz w:val="20"/>
          <w:szCs w:val="20"/>
        </w:rPr>
      </w:pPr>
      <w:r w:rsidRPr="00177D2D">
        <w:rPr>
          <w:rFonts w:ascii="Verdana" w:hAnsi="Verdana"/>
          <w:snapToGrid w:val="0"/>
          <w:color w:val="0C1B27" w:themeColor="text1" w:themeShade="80"/>
          <w:sz w:val="20"/>
          <w:szCs w:val="20"/>
        </w:rPr>
        <w:t>LAPFF has long been LCPF's preferred engagement partner</w:t>
      </w:r>
      <w:r>
        <w:rPr>
          <w:rFonts w:ascii="Verdana" w:hAnsi="Verdana"/>
          <w:snapToGrid w:val="0"/>
          <w:color w:val="0C1B27" w:themeColor="text1" w:themeShade="80"/>
          <w:sz w:val="20"/>
          <w:szCs w:val="20"/>
        </w:rPr>
        <w:t>. It has been a long-term member of the Forum and the Head of Fund and Chair of the Pension Fund Committee both currently sit on the LAPFF Executive.</w:t>
      </w:r>
    </w:p>
    <w:p w:rsidR="002D57C7" w:rsidRDefault="00C24C2E" w:rsidP="00177D2D">
      <w:pPr>
        <w:contextualSpacing/>
        <w:rPr>
          <w:rFonts w:ascii="Verdana" w:hAnsi="Verdana"/>
          <w:sz w:val="20"/>
          <w:szCs w:val="20"/>
        </w:rPr>
      </w:pPr>
    </w:p>
    <w:p w:rsidR="00C857CD" w:rsidRDefault="00A73C70" w:rsidP="00177D2D">
      <w:pPr>
        <w:contextualSpacing/>
        <w:rPr>
          <w:rFonts w:ascii="Verdana" w:hAnsi="Verdana"/>
          <w:sz w:val="20"/>
          <w:szCs w:val="20"/>
        </w:rPr>
      </w:pPr>
      <w:r w:rsidRPr="00177D2D">
        <w:rPr>
          <w:rFonts w:ascii="Verdana" w:hAnsi="Verdana"/>
          <w:sz w:val="20"/>
          <w:szCs w:val="20"/>
        </w:rPr>
        <w:t>LAPFF</w:t>
      </w:r>
      <w:r>
        <w:rPr>
          <w:rFonts w:ascii="Verdana" w:hAnsi="Verdana"/>
          <w:sz w:val="20"/>
          <w:szCs w:val="20"/>
        </w:rPr>
        <w:t>’s</w:t>
      </w:r>
      <w:r w:rsidRPr="00177D2D">
        <w:rPr>
          <w:rFonts w:ascii="Verdana" w:hAnsi="Verdana"/>
          <w:sz w:val="20"/>
          <w:szCs w:val="20"/>
        </w:rPr>
        <w:t xml:space="preserve"> engagement programme reflects the Forum's assessment of key priorities </w:t>
      </w:r>
      <w:r>
        <w:rPr>
          <w:rFonts w:ascii="Verdana" w:hAnsi="Verdana"/>
          <w:sz w:val="20"/>
          <w:szCs w:val="20"/>
        </w:rPr>
        <w:t xml:space="preserve">arising </w:t>
      </w:r>
      <w:r w:rsidRPr="00177D2D">
        <w:rPr>
          <w:rFonts w:ascii="Verdana" w:hAnsi="Verdana"/>
          <w:sz w:val="20"/>
          <w:szCs w:val="20"/>
        </w:rPr>
        <w:t>from across the collective equity holdings of LAPFF members</w:t>
      </w:r>
      <w:r>
        <w:rPr>
          <w:rFonts w:ascii="Verdana" w:hAnsi="Verdana"/>
          <w:sz w:val="20"/>
          <w:szCs w:val="20"/>
        </w:rPr>
        <w:t>. The Workplan for 2019 is due to be agreed by members at the next LAPFF Business Meeting (17 April 2019) after feedback is received from member funds as part of a consultation process currently underway.</w:t>
      </w:r>
    </w:p>
    <w:p w:rsidR="00C857CD" w:rsidRDefault="00C24C2E" w:rsidP="00177D2D">
      <w:pPr>
        <w:contextualSpacing/>
        <w:rPr>
          <w:rFonts w:ascii="Verdana" w:hAnsi="Verdana"/>
          <w:sz w:val="20"/>
          <w:szCs w:val="20"/>
        </w:rPr>
      </w:pPr>
    </w:p>
    <w:p w:rsidR="00E07BBF" w:rsidRPr="00EE50FE" w:rsidRDefault="00A73C70" w:rsidP="00177D2D">
      <w:pPr>
        <w:contextualSpacing/>
        <w:rPr>
          <w:rFonts w:ascii="Verdana" w:hAnsi="Verdana"/>
          <w:color w:val="0070C0"/>
          <w:sz w:val="20"/>
          <w:szCs w:val="20"/>
        </w:rPr>
      </w:pPr>
      <w:r w:rsidRPr="00177D2D">
        <w:rPr>
          <w:rFonts w:ascii="Verdana" w:hAnsi="Verdana"/>
          <w:sz w:val="20"/>
          <w:szCs w:val="20"/>
        </w:rPr>
        <w:t xml:space="preserve">On a quarterly basis LAPFF provide a summary of the engagement activities undertaken on behalf of member funds which is available from the LAPFF website. </w:t>
      </w:r>
      <w:hyperlink r:id="rId10" w:history="1">
        <w:r w:rsidRPr="00EE50FE">
          <w:rPr>
            <w:color w:val="0070C0"/>
          </w:rPr>
          <w:t>http://www.lapfforum.org/publications/qrtly-engagement-reports/</w:t>
        </w:r>
      </w:hyperlink>
    </w:p>
    <w:p w:rsidR="00177D2D" w:rsidRDefault="00C24C2E" w:rsidP="00177D2D">
      <w:pPr>
        <w:contextualSpacing/>
        <w:rPr>
          <w:rFonts w:ascii="Verdana" w:hAnsi="Verdana"/>
          <w:sz w:val="20"/>
          <w:szCs w:val="20"/>
        </w:rPr>
      </w:pPr>
    </w:p>
    <w:p w:rsidR="00177D2D" w:rsidRDefault="00A73C70" w:rsidP="00924DDC">
      <w:pPr>
        <w:contextualSpacing/>
        <w:rPr>
          <w:rFonts w:ascii="Verdana" w:hAnsi="Verdana" w:cs="Arial"/>
          <w:bCs/>
          <w:color w:val="183850" w:themeColor="text1"/>
          <w:sz w:val="20"/>
          <w:szCs w:val="20"/>
        </w:rPr>
      </w:pPr>
      <w:r w:rsidRPr="00177D2D">
        <w:rPr>
          <w:rFonts w:ascii="Verdana" w:hAnsi="Verdana"/>
          <w:sz w:val="20"/>
          <w:szCs w:val="20"/>
        </w:rPr>
        <w:t>Quantified across thematic topics, engagement activity by LAPFF in Q</w:t>
      </w:r>
      <w:r>
        <w:rPr>
          <w:rFonts w:ascii="Verdana" w:hAnsi="Verdana"/>
          <w:sz w:val="20"/>
          <w:szCs w:val="20"/>
        </w:rPr>
        <w:t>4</w:t>
      </w:r>
      <w:r w:rsidRPr="00177D2D">
        <w:rPr>
          <w:rFonts w:ascii="Verdana" w:hAnsi="Verdana"/>
          <w:sz w:val="20"/>
          <w:szCs w:val="20"/>
        </w:rPr>
        <w:t xml:space="preserve"> was as follows</w:t>
      </w:r>
      <w:r w:rsidRPr="00635E0B">
        <w:rPr>
          <w:rFonts w:ascii="Verdana" w:hAnsi="Verdana" w:cs="Arial"/>
          <w:bCs/>
          <w:color w:val="183850" w:themeColor="text1"/>
          <w:sz w:val="20"/>
          <w:szCs w:val="20"/>
        </w:rPr>
        <w:t xml:space="preserve">: </w:t>
      </w:r>
    </w:p>
    <w:p w:rsidR="00177D2D" w:rsidRPr="00635E0B" w:rsidRDefault="00A73C70" w:rsidP="00635E0B">
      <w:pPr>
        <w:autoSpaceDE w:val="0"/>
        <w:autoSpaceDN w:val="0"/>
        <w:adjustRightInd w:val="0"/>
        <w:spacing w:after="0"/>
        <w:rPr>
          <w:rFonts w:ascii="Verdana" w:hAnsi="Verdana" w:cs="Arial"/>
          <w:bCs/>
          <w:color w:val="183850" w:themeColor="text1"/>
          <w:sz w:val="20"/>
          <w:szCs w:val="20"/>
        </w:rPr>
      </w:pPr>
      <w:r>
        <w:rPr>
          <w:noProof/>
          <w:lang w:eastAsia="en-GB"/>
        </w:rPr>
        <w:drawing>
          <wp:inline distT="0" distB="0" distL="0" distR="0">
            <wp:extent cx="5158740" cy="1882140"/>
            <wp:effectExtent l="0" t="0" r="3810" b="3810"/>
            <wp:docPr id="2" name="Picture 1">
              <a:extLst xmlns:a="http://schemas.openxmlformats.org/drawingml/2006/main">
                <a:ext uri="{FF2B5EF4-FFF2-40B4-BE49-F238E27FC236}">
                  <a16:creationId xmlns="" xmlns:a16="http://schemas.microsoft.com/office/drawing/2014/main" xmlns:o="urn:schemas-microsoft-com:office:office" xmlns:v="urn:schemas-microsoft-com:vml" xmlns:w="http://schemas.openxmlformats.org/wordprocessingml/2006/main" xmlns:w10="urn:schemas-microsoft-com:office:word" id="{114898A3-08FF-4F66-94A1-3EB69CFAA1E4}"/>
                </a:ext>
              </a:extLst>
            </wp:docPr>
            <wp:cNvGraphicFramePr/>
            <a:graphic xmlns:a="http://schemas.openxmlformats.org/drawingml/2006/main">
              <a:graphicData uri="http://schemas.openxmlformats.org/drawingml/2006/picture">
                <pic:pic xmlns:pic="http://schemas.openxmlformats.org/drawingml/2006/picture">
                  <pic:nvPicPr>
                    <pic:cNvPr id="702219184" name="Picture 1"/>
                    <pic:cNvPicPr/>
                  </pic:nvPicPr>
                  <pic:blipFill>
                    <a:blip r:embed="rId11"/>
                    <a:stretch>
                      <a:fillRect/>
                    </a:stretch>
                  </pic:blipFill>
                  <pic:spPr>
                    <a:xfrm>
                      <a:off x="0" y="0"/>
                      <a:ext cx="5158740" cy="1882140"/>
                    </a:xfrm>
                    <a:prstGeom prst="rect">
                      <a:avLst/>
                    </a:prstGeom>
                  </pic:spPr>
                </pic:pic>
              </a:graphicData>
            </a:graphic>
          </wp:inline>
        </w:drawing>
      </w:r>
    </w:p>
    <w:p w:rsidR="00DE0A23" w:rsidRPr="00C857CD" w:rsidRDefault="00A73C70" w:rsidP="00C857CD">
      <w:pPr>
        <w:contextualSpacing/>
        <w:rPr>
          <w:rFonts w:ascii="Verdana" w:hAnsi="Verdana"/>
          <w:sz w:val="20"/>
          <w:szCs w:val="20"/>
        </w:rPr>
      </w:pPr>
      <w:r w:rsidRPr="00C857CD">
        <w:rPr>
          <w:rFonts w:ascii="Verdana" w:hAnsi="Verdana"/>
          <w:sz w:val="20"/>
          <w:szCs w:val="20"/>
        </w:rPr>
        <w:lastRenderedPageBreak/>
        <w:t>The 95 companies engaged with and the topics covered by LAPFF in Q4 were as follows:</w:t>
      </w:r>
    </w:p>
    <w:p w:rsidR="00C857CD" w:rsidRDefault="00A73C70" w:rsidP="00011376">
      <w:pPr>
        <w:autoSpaceDE w:val="0"/>
        <w:autoSpaceDN w:val="0"/>
        <w:adjustRightInd w:val="0"/>
        <w:spacing w:after="0"/>
        <w:rPr>
          <w:rFonts w:ascii="Verdana" w:hAnsi="Verdana" w:cs="Arial"/>
          <w:bCs/>
          <w:color w:val="183850" w:themeColor="text1"/>
          <w:sz w:val="20"/>
          <w:szCs w:val="20"/>
        </w:rPr>
      </w:pPr>
      <w:r>
        <w:rPr>
          <w:noProof/>
          <w:lang w:eastAsia="en-GB"/>
        </w:rPr>
        <w:drawing>
          <wp:anchor distT="0" distB="0" distL="114300" distR="114300" simplePos="0" relativeHeight="251670528" behindDoc="0" locked="0" layoutInCell="1" allowOverlap="1">
            <wp:simplePos x="0" y="0"/>
            <wp:positionH relativeFrom="column">
              <wp:posOffset>9525</wp:posOffset>
            </wp:positionH>
            <wp:positionV relativeFrom="paragraph">
              <wp:posOffset>4865370</wp:posOffset>
            </wp:positionV>
            <wp:extent cx="5019675" cy="4734560"/>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19675" cy="47345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5048250" cy="4838700"/>
            <wp:effectExtent l="0" t="0" r="0" b="0"/>
            <wp:docPr id="20039728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50523" name=""/>
                    <pic:cNvPicPr/>
                  </pic:nvPicPr>
                  <pic:blipFill rotWithShape="1">
                    <a:blip r:embed="rId13"/>
                    <a:srcRect t="1" b="587"/>
                    <a:stretch>
                      <a:fillRect/>
                    </a:stretch>
                  </pic:blipFill>
                  <pic:spPr>
                    <a:xfrm>
                      <a:off x="0" y="0"/>
                      <a:ext cx="5048250" cy="4838700"/>
                    </a:xfrm>
                    <a:prstGeom prst="rect">
                      <a:avLst/>
                    </a:prstGeom>
                  </pic:spPr>
                </pic:pic>
              </a:graphicData>
            </a:graphic>
          </wp:inline>
        </w:drawing>
      </w: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C857CD" w:rsidRDefault="00C24C2E" w:rsidP="00011376">
      <w:pPr>
        <w:autoSpaceDE w:val="0"/>
        <w:autoSpaceDN w:val="0"/>
        <w:adjustRightInd w:val="0"/>
        <w:spacing w:after="0"/>
        <w:rPr>
          <w:rFonts w:ascii="Verdana" w:hAnsi="Verdana" w:cs="Arial"/>
          <w:bCs/>
          <w:color w:val="183850" w:themeColor="text1"/>
          <w:sz w:val="20"/>
          <w:szCs w:val="20"/>
        </w:rPr>
      </w:pPr>
    </w:p>
    <w:p w:rsidR="00EE50FE" w:rsidRDefault="00A73C70" w:rsidP="00011376">
      <w:pPr>
        <w:autoSpaceDE w:val="0"/>
        <w:autoSpaceDN w:val="0"/>
        <w:adjustRightInd w:val="0"/>
        <w:spacing w:after="0"/>
        <w:rPr>
          <w:rFonts w:ascii="Verdana" w:hAnsi="Verdana" w:cs="Arial"/>
          <w:bCs/>
          <w:color w:val="183850" w:themeColor="text1"/>
          <w:sz w:val="20"/>
          <w:szCs w:val="20"/>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104775</wp:posOffset>
                </wp:positionH>
                <wp:positionV relativeFrom="paragraph">
                  <wp:posOffset>7837170</wp:posOffset>
                </wp:positionV>
                <wp:extent cx="476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5" style="mso-wrap-distance-bottom:0;mso-wrap-distance-left:9pt;mso-wrap-distance-right:9pt;mso-wrap-distance-top:0;mso-wrap-style:square;position:absolute;visibility:visible;z-index:251669504" from="8.25pt,617.1pt" to="45.75pt,617.1pt" strokecolor="#70c8f2"/>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123824</wp:posOffset>
                </wp:positionH>
                <wp:positionV relativeFrom="paragraph">
                  <wp:posOffset>7713345</wp:posOffset>
                </wp:positionV>
                <wp:extent cx="10953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1095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mso-wrap-distance-bottom:0;mso-wrap-distance-left:9pt;mso-wrap-distance-right:9pt;mso-wrap-distance-top:0;mso-wrap-style:square;position:absolute;visibility:visible;z-index:251667456" from="9.75pt,607.35pt" to="96pt,608.1pt" strokecolor="#70c8f2"/>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8446770</wp:posOffset>
                </wp:positionV>
                <wp:extent cx="64770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7" style="flip:y;mso-wrap-distance-bottom:0;mso-wrap-distance-left:9pt;mso-wrap-distance-right:9pt;mso-wrap-distance-top:0;mso-wrap-style:square;position:absolute;visibility:visible;z-index:251665408" from="9pt,665.1pt" to="60pt,665.85pt" strokecolor="#70c8f2"/>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8103870</wp:posOffset>
                </wp:positionV>
                <wp:extent cx="647700" cy="9525"/>
                <wp:effectExtent l="0" t="0" r="19050" b="28575"/>
                <wp:wrapNone/>
                <wp:docPr id="28" name="Straight Connector 28"/>
                <wp:cNvGraphicFramePr/>
                <a:graphic xmlns:a="http://schemas.openxmlformats.org/drawingml/2006/main">
                  <a:graphicData uri="http://schemas.microsoft.com/office/word/2010/wordprocessingShape">
                    <wps:wsp>
                      <wps:cNvCnPr/>
                      <wps:spPr>
                        <a:xfrm flipV="1">
                          <a:off x="0" y="0"/>
                          <a:ext cx="647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8" style="flip:y;mso-wrap-distance-bottom:0;mso-wrap-distance-left:9pt;mso-wrap-distance-right:9pt;mso-wrap-distance-top:0;mso-wrap-style:square;position:absolute;visibility:visible;z-index:251663360" from="7.5pt,638.1pt" to="58.5pt,638.85pt" strokecolor="#70c8f2"/>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7113270</wp:posOffset>
                </wp:positionV>
                <wp:extent cx="4095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409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9" style="flip:y;mso-wrap-distance-bottom:0;mso-wrap-distance-left:9pt;mso-wrap-distance-right:9pt;mso-wrap-distance-top:0;mso-wrap-style:square;position:absolute;visibility:visible;z-index:251661312" from="8.25pt,560.1pt" to="40.5pt,560.85pt" strokecolor="#70c8f2"/>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4160520</wp:posOffset>
                </wp:positionV>
                <wp:extent cx="42862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28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0" style="mso-wrap-distance-bottom:0;mso-wrap-distance-left:9pt;mso-wrap-distance-right:9pt;mso-wrap-distance-top:0;mso-wrap-style:square;position:absolute;visibility:visible;z-index:251659264" from="9pt,327.6pt" to="42.75pt,327.6pt" strokecolor="#70c8f2"/>
            </w:pict>
          </mc:Fallback>
        </mc:AlternateContent>
      </w:r>
      <w:r w:rsidRPr="00EE50FE">
        <w:rPr>
          <w:noProof/>
        </w:rPr>
        <w:t xml:space="preserve"> </w:t>
      </w:r>
    </w:p>
    <w:p w:rsidR="00C857CD" w:rsidRDefault="00C24C2E" w:rsidP="00627E69">
      <w:pPr>
        <w:autoSpaceDE w:val="0"/>
        <w:autoSpaceDN w:val="0"/>
        <w:adjustRightInd w:val="0"/>
        <w:spacing w:after="0"/>
        <w:rPr>
          <w:rFonts w:ascii="Verdana" w:hAnsi="Verdana"/>
          <w:bCs/>
          <w:sz w:val="20"/>
          <w:szCs w:val="20"/>
        </w:rPr>
      </w:pPr>
    </w:p>
    <w:p w:rsidR="00C857CD" w:rsidRDefault="00C24C2E" w:rsidP="00627E69">
      <w:pPr>
        <w:autoSpaceDE w:val="0"/>
        <w:autoSpaceDN w:val="0"/>
        <w:adjustRightInd w:val="0"/>
        <w:spacing w:after="0"/>
        <w:rPr>
          <w:rFonts w:ascii="Verdana" w:hAnsi="Verdana"/>
          <w:bCs/>
          <w:sz w:val="20"/>
          <w:szCs w:val="20"/>
        </w:rPr>
      </w:pPr>
    </w:p>
    <w:p w:rsidR="00C857CD" w:rsidRDefault="00C24C2E" w:rsidP="00627E69">
      <w:pPr>
        <w:autoSpaceDE w:val="0"/>
        <w:autoSpaceDN w:val="0"/>
        <w:adjustRightInd w:val="0"/>
        <w:spacing w:after="0"/>
        <w:rPr>
          <w:rFonts w:ascii="Verdana" w:hAnsi="Verdana"/>
          <w:bCs/>
          <w:sz w:val="20"/>
          <w:szCs w:val="20"/>
        </w:rPr>
      </w:pPr>
    </w:p>
    <w:p w:rsidR="00C857CD"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C24C2E" w:rsidP="00627E69">
      <w:pPr>
        <w:autoSpaceDE w:val="0"/>
        <w:autoSpaceDN w:val="0"/>
        <w:adjustRightInd w:val="0"/>
        <w:spacing w:after="0"/>
        <w:rPr>
          <w:rFonts w:ascii="Verdana" w:hAnsi="Verdana"/>
          <w:bCs/>
          <w:sz w:val="20"/>
          <w:szCs w:val="20"/>
        </w:rPr>
      </w:pPr>
    </w:p>
    <w:p w:rsidR="00DE0A23" w:rsidRDefault="00A73C70" w:rsidP="00627E69">
      <w:pPr>
        <w:autoSpaceDE w:val="0"/>
        <w:autoSpaceDN w:val="0"/>
        <w:adjustRightInd w:val="0"/>
        <w:spacing w:after="0"/>
        <w:rPr>
          <w:rFonts w:ascii="Verdana" w:hAnsi="Verdana"/>
          <w:bCs/>
          <w:sz w:val="20"/>
          <w:szCs w:val="20"/>
        </w:rPr>
      </w:pPr>
      <w:r>
        <w:rPr>
          <w:noProof/>
          <w:lang w:eastAsia="en-GB"/>
        </w:rPr>
        <w:drawing>
          <wp:inline distT="0" distB="0" distL="0" distR="0">
            <wp:extent cx="4953000" cy="3543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152346" name=""/>
                    <pic:cNvPicPr/>
                  </pic:nvPicPr>
                  <pic:blipFill>
                    <a:blip r:embed="rId14"/>
                    <a:stretch>
                      <a:fillRect/>
                    </a:stretch>
                  </pic:blipFill>
                  <pic:spPr>
                    <a:xfrm>
                      <a:off x="0" y="0"/>
                      <a:ext cx="4953000" cy="3543300"/>
                    </a:xfrm>
                    <a:prstGeom prst="rect">
                      <a:avLst/>
                    </a:prstGeom>
                  </pic:spPr>
                </pic:pic>
              </a:graphicData>
            </a:graphic>
          </wp:inline>
        </w:drawing>
      </w:r>
    </w:p>
    <w:p w:rsidR="00DE0A23" w:rsidRDefault="00C24C2E" w:rsidP="00627E69">
      <w:pPr>
        <w:autoSpaceDE w:val="0"/>
        <w:autoSpaceDN w:val="0"/>
        <w:adjustRightInd w:val="0"/>
        <w:spacing w:after="0"/>
        <w:rPr>
          <w:rFonts w:ascii="Verdana" w:hAnsi="Verdana"/>
          <w:bCs/>
          <w:sz w:val="20"/>
          <w:szCs w:val="20"/>
        </w:rPr>
      </w:pPr>
    </w:p>
    <w:p w:rsidR="00177D2D" w:rsidRPr="003606C9"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19 companies (highlighted </w:t>
      </w:r>
      <w:r>
        <w:rPr>
          <w:rFonts w:ascii="Verdana" w:hAnsi="Verdana"/>
          <w:snapToGrid w:val="0"/>
          <w:color w:val="0C1B27" w:themeColor="text1" w:themeShade="80"/>
          <w:sz w:val="20"/>
          <w:szCs w:val="20"/>
        </w:rPr>
        <w:t xml:space="preserve">above </w:t>
      </w:r>
      <w:r w:rsidRPr="003606C9">
        <w:rPr>
          <w:rFonts w:ascii="Verdana" w:hAnsi="Verdana"/>
          <w:snapToGrid w:val="0"/>
          <w:color w:val="0C1B27" w:themeColor="text1" w:themeShade="80"/>
          <w:sz w:val="20"/>
          <w:szCs w:val="20"/>
        </w:rPr>
        <w:t>in blue) are held within the LPPI Global Equities Fund in which LCPF owns units.</w:t>
      </w:r>
    </w:p>
    <w:p w:rsidR="00C857CD" w:rsidRPr="003606C9" w:rsidRDefault="00C24C2E" w:rsidP="00C857CD">
      <w:pPr>
        <w:spacing w:after="0"/>
        <w:rPr>
          <w:rFonts w:ascii="Verdana" w:hAnsi="Verdana"/>
          <w:snapToGrid w:val="0"/>
          <w:color w:val="0C1B27" w:themeColor="text1" w:themeShade="80"/>
          <w:sz w:val="20"/>
          <w:szCs w:val="20"/>
        </w:rPr>
      </w:pPr>
    </w:p>
    <w:p w:rsidR="00627E69" w:rsidRPr="00C857CD" w:rsidRDefault="00A73C70" w:rsidP="00C857CD">
      <w:pPr>
        <w:spacing w:after="0"/>
        <w:rPr>
          <w:rFonts w:ascii="Verdana" w:hAnsi="Verdana" w:cs="Arial"/>
          <w:bCs/>
          <w:color w:val="0070C0"/>
          <w:sz w:val="20"/>
          <w:szCs w:val="20"/>
        </w:rPr>
      </w:pPr>
      <w:r w:rsidRPr="003606C9">
        <w:rPr>
          <w:rFonts w:ascii="Verdana" w:hAnsi="Verdana"/>
          <w:snapToGrid w:val="0"/>
          <w:color w:val="0C1B27" w:themeColor="text1" w:themeShade="80"/>
          <w:sz w:val="20"/>
          <w:szCs w:val="20"/>
        </w:rPr>
        <w:t>30 of the 95 engagements relate to a letter sent to US oil &amp; gas companies as part of an investor collaboration seeking support for continued methane emissions regulation by the Environmental Protection Agency (EPA). Firms have been urged to engage constructively with any further process of regulation by a</w:t>
      </w:r>
      <w:r>
        <w:rPr>
          <w:rFonts w:ascii="Verdana" w:hAnsi="Verdana"/>
          <w:snapToGrid w:val="0"/>
          <w:color w:val="0C1B27" w:themeColor="text1" w:themeShade="80"/>
          <w:sz w:val="20"/>
          <w:szCs w:val="20"/>
        </w:rPr>
        <w:t xml:space="preserve"> mainly US-based </w:t>
      </w:r>
      <w:r w:rsidRPr="003606C9">
        <w:rPr>
          <w:rFonts w:ascii="Verdana" w:hAnsi="Verdana"/>
          <w:snapToGrid w:val="0"/>
          <w:color w:val="0C1B27" w:themeColor="text1" w:themeShade="80"/>
          <w:sz w:val="20"/>
          <w:szCs w:val="20"/>
        </w:rPr>
        <w:t>investor group. Further details of the initiative (including membership) are available from the following link.</w:t>
      </w:r>
      <w:r>
        <w:rPr>
          <w:rFonts w:ascii="Verdana" w:hAnsi="Verdana" w:cs="Arial"/>
          <w:bCs/>
          <w:sz w:val="20"/>
          <w:szCs w:val="20"/>
        </w:rPr>
        <w:t xml:space="preserve"> </w:t>
      </w:r>
      <w:hyperlink r:id="rId15" w:history="1">
        <w:r w:rsidRPr="00C857CD">
          <w:rPr>
            <w:rStyle w:val="Hyperlink"/>
            <w:rFonts w:ascii="Verdana" w:hAnsi="Verdana" w:cs="Arial"/>
            <w:bCs/>
            <w:color w:val="0070C0"/>
            <w:sz w:val="20"/>
            <w:szCs w:val="20"/>
          </w:rPr>
          <w:t>https://www.iccr.org/investors-see-proposed-rollback-methane-regs-threat-long-term-viability-oil-gas-sector</w:t>
        </w:r>
      </w:hyperlink>
    </w:p>
    <w:p w:rsidR="00C857CD" w:rsidRDefault="00C24C2E" w:rsidP="00C857CD">
      <w:pPr>
        <w:spacing w:after="0"/>
        <w:rPr>
          <w:rFonts w:ascii="Verdana" w:hAnsi="Verdana" w:cs="Arial"/>
          <w:bCs/>
          <w:color w:val="0070C0"/>
          <w:sz w:val="20"/>
          <w:szCs w:val="20"/>
        </w:rPr>
      </w:pPr>
    </w:p>
    <w:p w:rsidR="00DE0A23" w:rsidRPr="00DE0A23" w:rsidRDefault="00A73C70" w:rsidP="00C857CD">
      <w:pPr>
        <w:spacing w:after="0"/>
        <w:rPr>
          <w:rFonts w:ascii="Verdana" w:hAnsi="Verdana"/>
          <w:snapToGrid w:val="0"/>
          <w:color w:val="0C1B27" w:themeColor="text1" w:themeShade="80"/>
          <w:sz w:val="20"/>
          <w:szCs w:val="20"/>
        </w:rPr>
      </w:pPr>
      <w:r w:rsidRPr="00DE0A23">
        <w:rPr>
          <w:rFonts w:ascii="Verdana" w:hAnsi="Verdana"/>
          <w:snapToGrid w:val="0"/>
          <w:color w:val="0C1B27" w:themeColor="text1" w:themeShade="80"/>
          <w:sz w:val="20"/>
          <w:szCs w:val="20"/>
        </w:rPr>
        <w:t xml:space="preserve">LPPI has </w:t>
      </w:r>
      <w:r>
        <w:rPr>
          <w:rFonts w:ascii="Verdana" w:hAnsi="Verdana"/>
          <w:snapToGrid w:val="0"/>
          <w:color w:val="0C1B27" w:themeColor="text1" w:themeShade="80"/>
          <w:sz w:val="20"/>
          <w:szCs w:val="20"/>
        </w:rPr>
        <w:t>engaged with companies via</w:t>
      </w:r>
      <w:r w:rsidRPr="00DE0A23">
        <w:rPr>
          <w:rFonts w:ascii="Verdana" w:hAnsi="Verdana"/>
          <w:snapToGrid w:val="0"/>
          <w:color w:val="0C1B27" w:themeColor="text1" w:themeShade="80"/>
          <w:sz w:val="20"/>
          <w:szCs w:val="20"/>
        </w:rPr>
        <w:t xml:space="preserve"> a range</w:t>
      </w:r>
      <w:r>
        <w:rPr>
          <w:rFonts w:ascii="Verdana" w:hAnsi="Verdana"/>
          <w:snapToGrid w:val="0"/>
          <w:color w:val="0C1B27" w:themeColor="text1" w:themeShade="80"/>
          <w:sz w:val="20"/>
          <w:szCs w:val="20"/>
        </w:rPr>
        <w:t xml:space="preserve"> of investor collaborations in Q4.</w:t>
      </w:r>
    </w:p>
    <w:p w:rsidR="00DE0A23" w:rsidRDefault="00A73C70" w:rsidP="00DE0A23">
      <w:pPr>
        <w:spacing w:after="0"/>
        <w:rPr>
          <w:rFonts w:ascii="Verdana" w:hAnsi="Verdana"/>
          <w:snapToGrid w:val="0"/>
          <w:color w:val="0C1B27" w:themeColor="text1" w:themeShade="80"/>
          <w:sz w:val="20"/>
          <w:szCs w:val="20"/>
        </w:rPr>
      </w:pPr>
      <w:r w:rsidRPr="00DE0A23">
        <w:rPr>
          <w:rFonts w:ascii="Verdana" w:hAnsi="Verdana"/>
          <w:snapToGrid w:val="0"/>
          <w:color w:val="0C1B27" w:themeColor="text1" w:themeShade="80"/>
          <w:sz w:val="20"/>
          <w:szCs w:val="20"/>
        </w:rPr>
        <w:t>Examples include the following activities and initiatives.</w:t>
      </w:r>
    </w:p>
    <w:p w:rsidR="00DE0A23" w:rsidRPr="00DE0A23" w:rsidRDefault="00C24C2E" w:rsidP="00DE0A23">
      <w:pPr>
        <w:spacing w:after="0"/>
        <w:rPr>
          <w:rFonts w:ascii="Verdana" w:hAnsi="Verdana"/>
          <w:snapToGrid w:val="0"/>
          <w:color w:val="0C1B27" w:themeColor="text1" w:themeShade="80"/>
          <w:sz w:val="20"/>
          <w:szCs w:val="20"/>
        </w:rPr>
      </w:pPr>
    </w:p>
    <w:p w:rsidR="00177D2D" w:rsidRPr="00627E69" w:rsidRDefault="00A73C70" w:rsidP="00177D2D">
      <w:pPr>
        <w:rPr>
          <w:rFonts w:ascii="Verdana" w:hAnsi="Verdana" w:cs="Arial"/>
          <w:bCs/>
          <w:color w:val="0070C0"/>
          <w:sz w:val="20"/>
          <w:szCs w:val="20"/>
        </w:rPr>
      </w:pPr>
      <w:r>
        <w:rPr>
          <w:rFonts w:ascii="Verdana" w:hAnsi="Verdana" w:cs="Arial"/>
          <w:b/>
          <w:bCs/>
          <w:color w:val="183850" w:themeColor="text1"/>
          <w:sz w:val="20"/>
          <w:szCs w:val="20"/>
        </w:rPr>
        <w:t>Institutional Investor Group on Climate Change (IIGCC)</w:t>
      </w:r>
    </w:p>
    <w:p w:rsidR="00C857CD" w:rsidRPr="003606C9"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As part of an initiative co-ordinating 95 participating investors, in December 2018 LPP </w:t>
      </w:r>
      <w:r>
        <w:rPr>
          <w:rFonts w:ascii="Verdana" w:hAnsi="Verdana"/>
          <w:snapToGrid w:val="0"/>
          <w:color w:val="0C1B27" w:themeColor="text1" w:themeShade="80"/>
          <w:sz w:val="20"/>
          <w:szCs w:val="20"/>
        </w:rPr>
        <w:t>was</w:t>
      </w:r>
      <w:r w:rsidRPr="003606C9">
        <w:rPr>
          <w:rFonts w:ascii="Verdana" w:hAnsi="Verdana"/>
          <w:snapToGrid w:val="0"/>
          <w:color w:val="0C1B27" w:themeColor="text1" w:themeShade="80"/>
          <w:sz w:val="20"/>
          <w:szCs w:val="20"/>
        </w:rPr>
        <w:t xml:space="preserve"> a signatory to a letter to European power companies calling </w:t>
      </w:r>
      <w:r>
        <w:rPr>
          <w:rFonts w:ascii="Verdana" w:hAnsi="Verdana"/>
          <w:snapToGrid w:val="0"/>
          <w:color w:val="0C1B27" w:themeColor="text1" w:themeShade="80"/>
          <w:sz w:val="20"/>
          <w:szCs w:val="20"/>
        </w:rPr>
        <w:t>on</w:t>
      </w:r>
      <w:r w:rsidRPr="003606C9">
        <w:rPr>
          <w:rFonts w:ascii="Verdana" w:hAnsi="Verdana"/>
          <w:snapToGrid w:val="0"/>
          <w:color w:val="0C1B27" w:themeColor="text1" w:themeShade="80"/>
          <w:sz w:val="20"/>
          <w:szCs w:val="20"/>
        </w:rPr>
        <w:t xml:space="preserve"> them to demonstrate they are ‘fit for a clean energy future’.</w:t>
      </w:r>
      <w:r>
        <w:rPr>
          <w:rFonts w:ascii="Verdana" w:hAnsi="Verdana"/>
          <w:snapToGrid w:val="0"/>
          <w:color w:val="0C1B27" w:themeColor="text1" w:themeShade="80"/>
          <w:sz w:val="20"/>
          <w:szCs w:val="20"/>
        </w:rPr>
        <w:t xml:space="preserve"> </w:t>
      </w:r>
    </w:p>
    <w:p w:rsidR="00C857CD" w:rsidRDefault="00C24C2E" w:rsidP="003606C9">
      <w:pPr>
        <w:spacing w:after="0"/>
        <w:rPr>
          <w:rFonts w:ascii="Verdana" w:hAnsi="Verdana"/>
          <w:snapToGrid w:val="0"/>
          <w:color w:val="0C1B27" w:themeColor="text1" w:themeShade="80"/>
          <w:sz w:val="20"/>
          <w:szCs w:val="20"/>
        </w:rPr>
      </w:pPr>
    </w:p>
    <w:p w:rsidR="00DE0A23" w:rsidRDefault="00A73C70" w:rsidP="00DE0A23">
      <w:pPr>
        <w:pStyle w:val="Default"/>
        <w:rPr>
          <w:rFonts w:eastAsiaTheme="minorHAnsi" w:cs="Calibri"/>
        </w:rPr>
      </w:pPr>
      <w:r w:rsidRPr="00DE0A23">
        <w:rPr>
          <w:rFonts w:ascii="Verdana" w:hAnsi="Verdana"/>
          <w:snapToGrid w:val="0"/>
          <w:color w:val="0C1B27" w:themeColor="text1" w:themeShade="80"/>
          <w:sz w:val="20"/>
          <w:szCs w:val="20"/>
        </w:rPr>
        <w:t xml:space="preserve">The power sector accounts for around a quarter of all global emissions and </w:t>
      </w:r>
      <w:r>
        <w:rPr>
          <w:rFonts w:ascii="Verdana" w:hAnsi="Verdana"/>
          <w:snapToGrid w:val="0"/>
          <w:color w:val="0C1B27" w:themeColor="text1" w:themeShade="80"/>
          <w:sz w:val="20"/>
          <w:szCs w:val="20"/>
        </w:rPr>
        <w:t xml:space="preserve">progress here </w:t>
      </w:r>
      <w:r w:rsidRPr="00DE0A23">
        <w:rPr>
          <w:rFonts w:ascii="Verdana" w:hAnsi="Verdana"/>
          <w:snapToGrid w:val="0"/>
          <w:color w:val="0C1B27" w:themeColor="text1" w:themeShade="80"/>
          <w:sz w:val="20"/>
          <w:szCs w:val="20"/>
        </w:rPr>
        <w:t xml:space="preserve">is also critical to the successful decarbonisation of other key sectors. </w:t>
      </w:r>
      <w:r w:rsidRPr="00DE0A23">
        <w:rPr>
          <w:rFonts w:ascii="Verdana" w:hAnsi="Verdana" w:cstheme="minorBidi"/>
          <w:snapToGrid w:val="0"/>
          <w:color w:val="0C1B27" w:themeColor="text1" w:themeShade="80"/>
          <w:sz w:val="20"/>
          <w:szCs w:val="20"/>
        </w:rPr>
        <w:t>Signatories to the letter include some of the largest institutional investors and asset managers in Europe</w:t>
      </w:r>
      <w:r>
        <w:rPr>
          <w:rFonts w:ascii="Verdana" w:hAnsi="Verdana"/>
          <w:snapToGrid w:val="0"/>
          <w:color w:val="0C1B27" w:themeColor="text1" w:themeShade="80"/>
          <w:sz w:val="20"/>
          <w:szCs w:val="20"/>
        </w:rPr>
        <w:t xml:space="preserve"> (and in some instances </w:t>
      </w:r>
      <w:r w:rsidRPr="00DE0A23">
        <w:rPr>
          <w:rFonts w:ascii="Verdana" w:hAnsi="Verdana" w:cstheme="minorBidi"/>
          <w:snapToGrid w:val="0"/>
          <w:color w:val="0C1B27" w:themeColor="text1" w:themeShade="80"/>
          <w:sz w:val="20"/>
          <w:szCs w:val="20"/>
        </w:rPr>
        <w:t>globally</w:t>
      </w:r>
      <w:r>
        <w:rPr>
          <w:rFonts w:ascii="Verdana" w:hAnsi="Verdana"/>
          <w:snapToGrid w:val="0"/>
          <w:color w:val="0C1B27" w:themeColor="text1" w:themeShade="80"/>
          <w:sz w:val="20"/>
          <w:szCs w:val="20"/>
        </w:rPr>
        <w:t>)</w:t>
      </w:r>
      <w:r w:rsidRPr="00DE0A23">
        <w:rPr>
          <w:rFonts w:ascii="Verdana" w:hAnsi="Verdana" w:cstheme="minorBidi"/>
          <w:snapToGrid w:val="0"/>
          <w:color w:val="0C1B27" w:themeColor="text1" w:themeShade="80"/>
          <w:sz w:val="20"/>
          <w:szCs w:val="20"/>
        </w:rPr>
        <w:t xml:space="preserve">. 20 of the 95 total signatories </w:t>
      </w:r>
      <w:r>
        <w:rPr>
          <w:rFonts w:ascii="Verdana" w:hAnsi="Verdana"/>
          <w:snapToGrid w:val="0"/>
          <w:color w:val="0C1B27" w:themeColor="text1" w:themeShade="80"/>
          <w:sz w:val="20"/>
          <w:szCs w:val="20"/>
        </w:rPr>
        <w:t>individually</w:t>
      </w:r>
      <w:r w:rsidRPr="00DE0A23">
        <w:rPr>
          <w:rFonts w:ascii="Verdana" w:hAnsi="Verdana" w:cstheme="minorBidi"/>
          <w:snapToGrid w:val="0"/>
          <w:color w:val="0C1B27" w:themeColor="text1" w:themeShade="80"/>
          <w:sz w:val="20"/>
          <w:szCs w:val="20"/>
        </w:rPr>
        <w:t xml:space="preserve"> have over $200 billion in assets under </w:t>
      </w:r>
      <w:r>
        <w:rPr>
          <w:rFonts w:ascii="Verdana" w:hAnsi="Verdana"/>
          <w:snapToGrid w:val="0"/>
          <w:color w:val="0C1B27" w:themeColor="text1" w:themeShade="80"/>
          <w:sz w:val="20"/>
          <w:szCs w:val="20"/>
        </w:rPr>
        <w:t xml:space="preserve">their </w:t>
      </w:r>
      <w:r w:rsidRPr="00DE0A23">
        <w:rPr>
          <w:rFonts w:ascii="Verdana" w:hAnsi="Verdana" w:cstheme="minorBidi"/>
          <w:snapToGrid w:val="0"/>
          <w:color w:val="0C1B27" w:themeColor="text1" w:themeShade="80"/>
          <w:sz w:val="20"/>
          <w:szCs w:val="20"/>
        </w:rPr>
        <w:t>management.</w:t>
      </w:r>
      <w:r w:rsidRPr="00DE0A23">
        <w:rPr>
          <w:rFonts w:eastAsiaTheme="minorHAnsi" w:cs="Calibri"/>
        </w:rPr>
        <w:t xml:space="preserve"> </w:t>
      </w:r>
      <w:r>
        <w:rPr>
          <w:rFonts w:eastAsiaTheme="minorHAnsi" w:cs="Calibri"/>
        </w:rPr>
        <w:t xml:space="preserve">LPP’s participation is a clear example of engagement effort being focussed to where it is likely to have maximum influence.  </w:t>
      </w:r>
    </w:p>
    <w:p w:rsidR="00DE0A23" w:rsidRPr="00DE0A23" w:rsidRDefault="00C24C2E" w:rsidP="00DE0A23">
      <w:pPr>
        <w:spacing w:after="0"/>
        <w:rPr>
          <w:rFonts w:ascii="Verdana" w:hAnsi="Verdana"/>
          <w:snapToGrid w:val="0"/>
          <w:color w:val="0C1B27" w:themeColor="text1" w:themeShade="80"/>
          <w:sz w:val="20"/>
          <w:szCs w:val="20"/>
        </w:rPr>
      </w:pPr>
    </w:p>
    <w:p w:rsidR="00F0188F" w:rsidRPr="00DE0A23"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The investor letter asks firms to demonstrate they are implementing business strategies aligned with the goals of the Paris Agreement and sets expectations for corporate </w:t>
      </w:r>
      <w:r w:rsidRPr="003606C9">
        <w:rPr>
          <w:rFonts w:ascii="Verdana" w:hAnsi="Verdana"/>
          <w:snapToGrid w:val="0"/>
          <w:color w:val="0C1B27" w:themeColor="text1" w:themeShade="80"/>
          <w:sz w:val="20"/>
          <w:szCs w:val="20"/>
        </w:rPr>
        <w:lastRenderedPageBreak/>
        <w:t>planning for a future in a net-zero carbon economy. Th</w:t>
      </w:r>
      <w:r>
        <w:rPr>
          <w:rFonts w:ascii="Verdana" w:hAnsi="Verdana"/>
          <w:snapToGrid w:val="0"/>
          <w:color w:val="0C1B27" w:themeColor="text1" w:themeShade="80"/>
          <w:sz w:val="20"/>
          <w:szCs w:val="20"/>
        </w:rPr>
        <w:t>e</w:t>
      </w:r>
      <w:r w:rsidRPr="003606C9">
        <w:rPr>
          <w:rFonts w:ascii="Verdana" w:hAnsi="Verdana"/>
          <w:snapToGrid w:val="0"/>
          <w:color w:val="0C1B27" w:themeColor="text1" w:themeShade="80"/>
          <w:sz w:val="20"/>
          <w:szCs w:val="20"/>
        </w:rPr>
        <w:t xml:space="preserve"> collaboration</w:t>
      </w:r>
      <w:r>
        <w:rPr>
          <w:rFonts w:ascii="Verdana" w:hAnsi="Verdana"/>
          <w:snapToGrid w:val="0"/>
          <w:color w:val="0C1B27" w:themeColor="text1" w:themeShade="80"/>
          <w:sz w:val="20"/>
          <w:szCs w:val="20"/>
        </w:rPr>
        <w:t xml:space="preserve"> was</w:t>
      </w:r>
      <w:r w:rsidRPr="003606C9">
        <w:rPr>
          <w:rFonts w:ascii="Verdana" w:hAnsi="Verdana"/>
          <w:snapToGrid w:val="0"/>
          <w:color w:val="0C1B27" w:themeColor="text1" w:themeShade="80"/>
          <w:sz w:val="20"/>
          <w:szCs w:val="20"/>
        </w:rPr>
        <w:t xml:space="preserve"> facilitated by IIGCC and details of the letter appear within the IIGCC Press Release available</w:t>
      </w:r>
      <w:r>
        <w:rPr>
          <w:rFonts w:ascii="Verdana" w:hAnsi="Verdana" w:cs="Arial"/>
          <w:bCs/>
          <w:sz w:val="20"/>
          <w:szCs w:val="20"/>
        </w:rPr>
        <w:t xml:space="preserve"> </w:t>
      </w:r>
      <w:hyperlink r:id="rId16" w:history="1">
        <w:r w:rsidRPr="00F0188F">
          <w:rPr>
            <w:rFonts w:cs="Arial"/>
            <w:bCs/>
            <w:color w:val="0070C0"/>
          </w:rPr>
          <w:t>here</w:t>
        </w:r>
      </w:hyperlink>
      <w:r>
        <w:rPr>
          <w:rFonts w:cs="Arial"/>
          <w:bCs/>
          <w:color w:val="0070C0"/>
        </w:rPr>
        <w:t>.</w:t>
      </w:r>
    </w:p>
    <w:p w:rsidR="00DE0A23" w:rsidRPr="00C857CD" w:rsidRDefault="00C24C2E" w:rsidP="00C857CD">
      <w:pPr>
        <w:pStyle w:val="Default"/>
        <w:rPr>
          <w:rFonts w:eastAsiaTheme="minorHAnsi" w:cs="Calibri"/>
        </w:rPr>
      </w:pPr>
    </w:p>
    <w:p w:rsidR="00F0188F" w:rsidRPr="00F0188F" w:rsidRDefault="00A73C70" w:rsidP="00F0188F">
      <w:pPr>
        <w:rPr>
          <w:rFonts w:ascii="Verdana" w:hAnsi="Verdana" w:cs="Arial"/>
          <w:b/>
          <w:bCs/>
          <w:color w:val="183850" w:themeColor="text1"/>
          <w:sz w:val="20"/>
          <w:szCs w:val="20"/>
        </w:rPr>
      </w:pPr>
      <w:r w:rsidRPr="00F0188F">
        <w:rPr>
          <w:rFonts w:ascii="Verdana" w:hAnsi="Verdana" w:cs="Arial"/>
          <w:b/>
          <w:bCs/>
          <w:color w:val="183850" w:themeColor="text1"/>
          <w:sz w:val="20"/>
          <w:szCs w:val="20"/>
        </w:rPr>
        <w:t>Climate Action 100+</w:t>
      </w:r>
    </w:p>
    <w:p w:rsidR="00DE0A23"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In December 2018 LPPI </w:t>
      </w:r>
      <w:r>
        <w:rPr>
          <w:rFonts w:ascii="Verdana" w:hAnsi="Verdana"/>
          <w:snapToGrid w:val="0"/>
          <w:color w:val="0C1B27" w:themeColor="text1" w:themeShade="80"/>
          <w:sz w:val="20"/>
          <w:szCs w:val="20"/>
        </w:rPr>
        <w:t xml:space="preserve">submitted papers to </w:t>
      </w:r>
      <w:r w:rsidRPr="003606C9">
        <w:rPr>
          <w:rFonts w:ascii="Verdana" w:hAnsi="Verdana"/>
          <w:snapToGrid w:val="0"/>
          <w:color w:val="0C1B27" w:themeColor="text1" w:themeShade="80"/>
          <w:sz w:val="20"/>
          <w:szCs w:val="20"/>
        </w:rPr>
        <w:t xml:space="preserve">co-file </w:t>
      </w:r>
      <w:r>
        <w:rPr>
          <w:rFonts w:ascii="Verdana" w:hAnsi="Verdana"/>
          <w:snapToGrid w:val="0"/>
          <w:color w:val="0C1B27" w:themeColor="text1" w:themeShade="80"/>
          <w:sz w:val="20"/>
          <w:szCs w:val="20"/>
        </w:rPr>
        <w:t xml:space="preserve">its first </w:t>
      </w:r>
      <w:r w:rsidRPr="003606C9">
        <w:rPr>
          <w:rFonts w:ascii="Verdana" w:hAnsi="Verdana"/>
          <w:snapToGrid w:val="0"/>
          <w:color w:val="0C1B27" w:themeColor="text1" w:themeShade="80"/>
          <w:sz w:val="20"/>
          <w:szCs w:val="20"/>
        </w:rPr>
        <w:t>shareholder proposal</w:t>
      </w:r>
      <w:r>
        <w:rPr>
          <w:rFonts w:ascii="Verdana" w:hAnsi="Verdana"/>
          <w:snapToGrid w:val="0"/>
          <w:color w:val="0C1B27" w:themeColor="text1" w:themeShade="80"/>
          <w:sz w:val="20"/>
          <w:szCs w:val="20"/>
        </w:rPr>
        <w:t xml:space="preserve"> at a company meeting. This was</w:t>
      </w:r>
      <w:r w:rsidRPr="003606C9">
        <w:rPr>
          <w:rFonts w:ascii="Verdana" w:hAnsi="Verdana"/>
          <w:snapToGrid w:val="0"/>
          <w:color w:val="0C1B27" w:themeColor="text1" w:themeShade="80"/>
          <w:sz w:val="20"/>
          <w:szCs w:val="20"/>
        </w:rPr>
        <w:t xml:space="preserve"> at Exxon Mobil </w:t>
      </w:r>
      <w:r>
        <w:rPr>
          <w:rFonts w:ascii="Verdana" w:hAnsi="Verdana"/>
          <w:snapToGrid w:val="0"/>
          <w:color w:val="0C1B27" w:themeColor="text1" w:themeShade="80"/>
          <w:sz w:val="20"/>
          <w:szCs w:val="20"/>
        </w:rPr>
        <w:t xml:space="preserve">as part of an initiative arising out of our participation in Climate Action 100+. </w:t>
      </w:r>
    </w:p>
    <w:p w:rsidR="00DE0A23" w:rsidRDefault="00C24C2E" w:rsidP="003606C9">
      <w:pPr>
        <w:spacing w:after="0"/>
        <w:rPr>
          <w:rFonts w:ascii="Verdana" w:hAnsi="Verdana"/>
          <w:snapToGrid w:val="0"/>
          <w:color w:val="0C1B27" w:themeColor="text1" w:themeShade="80"/>
          <w:sz w:val="20"/>
          <w:szCs w:val="20"/>
        </w:rPr>
      </w:pPr>
    </w:p>
    <w:p w:rsidR="00DE0A23" w:rsidRDefault="00A73C70" w:rsidP="003606C9">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Filing a proposal in the US is a formal process requiring a range of paperwork to be submitted including proof of qualifying shareholdings via a letter from a custodian bank. LPPI worked with (and gained advice from) a network of investors in Europe and the US to achieve the tight deadline to co-file the proposal which it is intended will </w:t>
      </w:r>
      <w:r w:rsidRPr="003606C9">
        <w:rPr>
          <w:rFonts w:ascii="Verdana" w:hAnsi="Verdana"/>
          <w:snapToGrid w:val="0"/>
          <w:color w:val="0C1B27" w:themeColor="text1" w:themeShade="80"/>
          <w:sz w:val="20"/>
          <w:szCs w:val="20"/>
        </w:rPr>
        <w:t xml:space="preserve">arise at </w:t>
      </w:r>
      <w:r>
        <w:rPr>
          <w:rFonts w:ascii="Verdana" w:hAnsi="Verdana"/>
          <w:snapToGrid w:val="0"/>
          <w:color w:val="0C1B27" w:themeColor="text1" w:themeShade="80"/>
          <w:sz w:val="20"/>
          <w:szCs w:val="20"/>
        </w:rPr>
        <w:t>Exxon’s</w:t>
      </w:r>
      <w:r w:rsidRPr="003606C9">
        <w:rPr>
          <w:rFonts w:ascii="Verdana" w:hAnsi="Verdana"/>
          <w:snapToGrid w:val="0"/>
          <w:color w:val="0C1B27" w:themeColor="text1" w:themeShade="80"/>
          <w:sz w:val="20"/>
          <w:szCs w:val="20"/>
        </w:rPr>
        <w:t xml:space="preserve"> 2019 AGM </w:t>
      </w:r>
      <w:r>
        <w:rPr>
          <w:rFonts w:ascii="Verdana" w:hAnsi="Verdana"/>
          <w:snapToGrid w:val="0"/>
          <w:color w:val="0C1B27" w:themeColor="text1" w:themeShade="80"/>
          <w:sz w:val="20"/>
          <w:szCs w:val="20"/>
        </w:rPr>
        <w:t xml:space="preserve">in May.  </w:t>
      </w:r>
    </w:p>
    <w:p w:rsidR="00DE0A23" w:rsidRDefault="00C24C2E" w:rsidP="003606C9">
      <w:pPr>
        <w:spacing w:after="0"/>
        <w:rPr>
          <w:rFonts w:ascii="Verdana" w:hAnsi="Verdana"/>
          <w:snapToGrid w:val="0"/>
          <w:color w:val="0C1B27" w:themeColor="text1" w:themeShade="80"/>
          <w:sz w:val="20"/>
          <w:szCs w:val="20"/>
        </w:rPr>
      </w:pPr>
    </w:p>
    <w:p w:rsidR="00C810C0" w:rsidRPr="00DE0A23" w:rsidRDefault="00A73C70" w:rsidP="00C810C0">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The proposal asks the company to set short, medium, and long-term targets for emissions reductions in line with the Paris Agreement. The lead filer is the New York State Comptroller (as Trustee for the New York State Common Retirement Fund) </w:t>
      </w:r>
      <w:r>
        <w:rPr>
          <w:rFonts w:ascii="Verdana" w:hAnsi="Verdana"/>
          <w:snapToGrid w:val="0"/>
          <w:color w:val="0C1B27" w:themeColor="text1" w:themeShade="80"/>
          <w:sz w:val="20"/>
          <w:szCs w:val="20"/>
        </w:rPr>
        <w:t xml:space="preserve">with </w:t>
      </w:r>
      <w:r w:rsidRPr="003606C9">
        <w:rPr>
          <w:rFonts w:ascii="Verdana" w:hAnsi="Verdana"/>
          <w:snapToGrid w:val="0"/>
          <w:color w:val="0C1B27" w:themeColor="text1" w:themeShade="80"/>
          <w:sz w:val="20"/>
          <w:szCs w:val="20"/>
        </w:rPr>
        <w:t>support</w:t>
      </w:r>
      <w:r>
        <w:rPr>
          <w:rFonts w:ascii="Verdana" w:hAnsi="Verdana"/>
          <w:snapToGrid w:val="0"/>
          <w:color w:val="0C1B27" w:themeColor="text1" w:themeShade="80"/>
          <w:sz w:val="20"/>
          <w:szCs w:val="20"/>
        </w:rPr>
        <w:t xml:space="preserve"> from</w:t>
      </w:r>
      <w:r w:rsidRPr="003606C9">
        <w:rPr>
          <w:rFonts w:ascii="Verdana" w:hAnsi="Verdana"/>
          <w:snapToGrid w:val="0"/>
          <w:color w:val="0C1B27" w:themeColor="text1" w:themeShade="80"/>
          <w:sz w:val="20"/>
          <w:szCs w:val="20"/>
        </w:rPr>
        <w:t xml:space="preserve"> the Church Commissioners for England as lead co-filer. A press release (by the Church Commissioners) providing further information on the proposal is available</w:t>
      </w:r>
      <w:r w:rsidRPr="00F0188F">
        <w:rPr>
          <w:rFonts w:ascii="Verdana" w:hAnsi="Verdana"/>
          <w:color w:val="0070C0"/>
          <w:sz w:val="20"/>
          <w:szCs w:val="20"/>
        </w:rPr>
        <w:t xml:space="preserve"> </w:t>
      </w:r>
      <w:hyperlink r:id="rId17" w:history="1">
        <w:r w:rsidRPr="00F0188F">
          <w:rPr>
            <w:color w:val="0070C0"/>
          </w:rPr>
          <w:t>here</w:t>
        </w:r>
      </w:hyperlink>
      <w:r>
        <w:rPr>
          <w:rFonts w:ascii="Verdana" w:hAnsi="Verdana"/>
          <w:color w:val="183850" w:themeColor="text1"/>
          <w:sz w:val="20"/>
          <w:szCs w:val="20"/>
        </w:rPr>
        <w:t xml:space="preserve">. </w:t>
      </w:r>
      <w:r w:rsidRPr="00DE0A23">
        <w:rPr>
          <w:rFonts w:ascii="Verdana" w:hAnsi="Verdana"/>
          <w:snapToGrid w:val="0"/>
          <w:color w:val="0C1B27" w:themeColor="text1" w:themeShade="80"/>
          <w:sz w:val="20"/>
          <w:szCs w:val="20"/>
        </w:rPr>
        <w:t>LPP is one of 30+ investors</w:t>
      </w:r>
      <w:r>
        <w:rPr>
          <w:rFonts w:ascii="Verdana" w:hAnsi="Verdana"/>
          <w:snapToGrid w:val="0"/>
          <w:color w:val="0C1B27" w:themeColor="text1" w:themeShade="80"/>
          <w:sz w:val="20"/>
          <w:szCs w:val="20"/>
        </w:rPr>
        <w:t xml:space="preserve"> who have co-ordinated to co-file</w:t>
      </w:r>
      <w:r w:rsidRPr="00DE0A23">
        <w:rPr>
          <w:rFonts w:ascii="Verdana" w:hAnsi="Verdana"/>
          <w:snapToGrid w:val="0"/>
          <w:color w:val="0C1B27" w:themeColor="text1" w:themeShade="80"/>
          <w:sz w:val="20"/>
          <w:szCs w:val="20"/>
        </w:rPr>
        <w:t>.</w:t>
      </w:r>
    </w:p>
    <w:p w:rsidR="00DE0A23" w:rsidRDefault="00C24C2E" w:rsidP="00C857CD">
      <w:pPr>
        <w:spacing w:after="0"/>
        <w:jc w:val="both"/>
        <w:rPr>
          <w:rFonts w:ascii="Verdana" w:hAnsi="Verdana"/>
          <w:snapToGrid w:val="0"/>
          <w:color w:val="0C1B27" w:themeColor="text1" w:themeShade="80"/>
          <w:sz w:val="20"/>
          <w:szCs w:val="20"/>
        </w:rPr>
      </w:pPr>
    </w:p>
    <w:p w:rsidR="00DE0A23" w:rsidRDefault="00A73C70" w:rsidP="00C857CD">
      <w:pPr>
        <w:spacing w:after="0"/>
        <w:jc w:val="both"/>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The ability of Exxon shareholders (including LPPI’s Global Equities Fund) to consider and vote on the resolution at the AGM depends on the outcome of a process overseen by the Securities and Exchange Commission under which Exxon is seeking not to table the proposal. As dialogue between the proponents and the SEC continues, LPP is maintaining contact with the lead parties and has agreed to signal support for the proposal (as a signatory to ancillary letters being co-ordinated by collaborating investor groups).</w:t>
      </w:r>
    </w:p>
    <w:p w:rsidR="00DE0A23" w:rsidRDefault="00C24C2E" w:rsidP="00C857CD">
      <w:pPr>
        <w:spacing w:after="0"/>
        <w:jc w:val="both"/>
        <w:rPr>
          <w:rFonts w:ascii="Verdana" w:hAnsi="Verdana"/>
          <w:snapToGrid w:val="0"/>
          <w:color w:val="0C1B27" w:themeColor="text1" w:themeShade="80"/>
          <w:sz w:val="20"/>
          <w:szCs w:val="20"/>
        </w:rPr>
      </w:pPr>
    </w:p>
    <w:p w:rsidR="00197BA3" w:rsidRDefault="00A73C70" w:rsidP="00C857CD">
      <w:pPr>
        <w:spacing w:after="0"/>
        <w:jc w:val="both"/>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C857CD" w:rsidRPr="008103F0" w:rsidRDefault="00C24C2E" w:rsidP="00C857CD">
      <w:pPr>
        <w:spacing w:after="0"/>
        <w:jc w:val="both"/>
        <w:rPr>
          <w:rFonts w:ascii="Verdana" w:hAnsi="Verdana" w:cs="Arial"/>
          <w:b/>
          <w:bCs/>
          <w:color w:val="54BBAB" w:themeColor="text2"/>
          <w:sz w:val="20"/>
          <w:szCs w:val="20"/>
        </w:rPr>
      </w:pPr>
    </w:p>
    <w:p w:rsidR="00601570" w:rsidRPr="003606C9"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LPPI employ Institutional Protection Services (IPS) as an external provider of litigation monitoring services to ensure shareholder litigation cases affecting securities owned by the GEF are known about, claims are filed in a timely way and progress is monitored and followed up with Claims Administrators.  In addition, IPS monitor cases relating to shares held by LCPF in the period before the Fund pooled its listed equity investments from November 2016.  Litigation can arise quite some time after shares have been sold and monitoring new cases and referring back to historic holdings records to establish rights of ownership is an ongoing task.</w:t>
      </w:r>
    </w:p>
    <w:p w:rsidR="00C857CD" w:rsidRPr="003606C9" w:rsidRDefault="00C24C2E" w:rsidP="003606C9">
      <w:pPr>
        <w:spacing w:after="0"/>
        <w:rPr>
          <w:rFonts w:ascii="Verdana" w:hAnsi="Verdana"/>
          <w:snapToGrid w:val="0"/>
          <w:color w:val="0C1B27" w:themeColor="text1" w:themeShade="80"/>
          <w:sz w:val="20"/>
          <w:szCs w:val="20"/>
        </w:rPr>
      </w:pPr>
    </w:p>
    <w:p w:rsidR="00EC3178" w:rsidRPr="003606C9"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IPS provide LPPI with monitoring information on a quarterly basis detailing the number of cases investigated.  The monitoring report for Q4 2018 confirms that whilst no new potential cases were identified where the Fund might have an entitlement to join a class action, there were 5 existing cases where eligibility has been confirmed and a claim will be filed and 2 which have been discounted following further analysis. </w:t>
      </w:r>
    </w:p>
    <w:p w:rsidR="00E50F74" w:rsidRPr="008103F0" w:rsidRDefault="00C24C2E" w:rsidP="00C857CD">
      <w:pPr>
        <w:pStyle w:val="Default"/>
        <w:rPr>
          <w:rFonts w:ascii="Verdana" w:hAnsi="Verdana" w:cs="Arial"/>
          <w:b/>
          <w:bCs/>
          <w:color w:val="54BBAB" w:themeColor="text2"/>
          <w:sz w:val="20"/>
          <w:szCs w:val="20"/>
        </w:rPr>
      </w:pPr>
    </w:p>
    <w:p w:rsidR="00197BA3" w:rsidRDefault="00A73C70" w:rsidP="00C857CD">
      <w:pPr>
        <w:pStyle w:val="ListParagraph"/>
        <w:numPr>
          <w:ilvl w:val="0"/>
          <w:numId w:val="2"/>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Active Investing</w:t>
      </w:r>
    </w:p>
    <w:p w:rsidR="00B67A56" w:rsidRPr="00DB514E" w:rsidRDefault="00C24C2E" w:rsidP="00C857CD">
      <w:pPr>
        <w:spacing w:after="0"/>
        <w:jc w:val="both"/>
        <w:rPr>
          <w:rFonts w:ascii="Verdana" w:hAnsi="Verdana"/>
          <w:bCs/>
          <w:sz w:val="20"/>
          <w:szCs w:val="20"/>
        </w:rPr>
      </w:pPr>
    </w:p>
    <w:p w:rsidR="00177D2D" w:rsidRPr="003606C9" w:rsidRDefault="00A73C70" w:rsidP="003606C9">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The LCPF Responsible Investment Policy describes active investing as the search for sustainable investments which meet LCPF’s requirements for strong returns combined with best practice in ESG and corporate governance.  The Fund has not set allocations </w:t>
      </w:r>
      <w:r w:rsidRPr="003606C9">
        <w:rPr>
          <w:rFonts w:ascii="Verdana" w:hAnsi="Verdana"/>
          <w:snapToGrid w:val="0"/>
          <w:color w:val="0C1B27" w:themeColor="text1" w:themeShade="80"/>
          <w:sz w:val="20"/>
          <w:szCs w:val="20"/>
        </w:rPr>
        <w:lastRenderedPageBreak/>
        <w:t>for investments within specific sectors but favours sustainable investments with positive social characteristics</w:t>
      </w:r>
      <w:r>
        <w:rPr>
          <w:rFonts w:ascii="Verdana" w:hAnsi="Verdana"/>
          <w:snapToGrid w:val="0"/>
          <w:color w:val="0C1B27" w:themeColor="text1" w:themeShade="80"/>
          <w:sz w:val="20"/>
          <w:szCs w:val="20"/>
        </w:rPr>
        <w:t xml:space="preserve"> and has identified climate change as a particular thematic priority</w:t>
      </w:r>
      <w:r w:rsidRPr="003606C9">
        <w:rPr>
          <w:rFonts w:ascii="Verdana" w:hAnsi="Verdana"/>
          <w:snapToGrid w:val="0"/>
          <w:color w:val="0C1B27" w:themeColor="text1" w:themeShade="80"/>
          <w:sz w:val="20"/>
          <w:szCs w:val="20"/>
        </w:rPr>
        <w:t>.</w:t>
      </w:r>
    </w:p>
    <w:p w:rsidR="00C810C0" w:rsidRDefault="00C24C2E" w:rsidP="003606C9">
      <w:pPr>
        <w:spacing w:after="0"/>
        <w:rPr>
          <w:rFonts w:ascii="Verdana" w:hAnsi="Verdana"/>
          <w:snapToGrid w:val="0"/>
          <w:color w:val="0C1B27" w:themeColor="text1" w:themeShade="80"/>
          <w:sz w:val="20"/>
          <w:szCs w:val="20"/>
        </w:rPr>
      </w:pPr>
    </w:p>
    <w:p w:rsidR="00C810C0" w:rsidRPr="00C810C0" w:rsidRDefault="00A73C70" w:rsidP="00C810C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Recent analysis of</w:t>
      </w:r>
      <w:r w:rsidRPr="00C810C0">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LPPI’s</w:t>
      </w:r>
      <w:r w:rsidRPr="00C810C0">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Global Equities Fund (GEF) has produced additional insight into an important aspect of the </w:t>
      </w:r>
      <w:r w:rsidRPr="00C810C0">
        <w:rPr>
          <w:rFonts w:ascii="Verdana" w:hAnsi="Verdana"/>
          <w:snapToGrid w:val="0"/>
          <w:color w:val="0C1B27" w:themeColor="text1" w:themeShade="80"/>
          <w:sz w:val="20"/>
          <w:szCs w:val="20"/>
        </w:rPr>
        <w:t xml:space="preserve">sustainability of </w:t>
      </w:r>
      <w:r>
        <w:rPr>
          <w:rFonts w:ascii="Verdana" w:hAnsi="Verdana"/>
          <w:snapToGrid w:val="0"/>
          <w:color w:val="0C1B27" w:themeColor="text1" w:themeShade="80"/>
          <w:sz w:val="20"/>
          <w:szCs w:val="20"/>
        </w:rPr>
        <w:t xml:space="preserve">LCPF’s </w:t>
      </w:r>
      <w:r w:rsidRPr="00C810C0">
        <w:rPr>
          <w:rFonts w:ascii="Verdana" w:hAnsi="Verdana"/>
          <w:snapToGrid w:val="0"/>
          <w:color w:val="0C1B27" w:themeColor="text1" w:themeShade="80"/>
          <w:sz w:val="20"/>
          <w:szCs w:val="20"/>
        </w:rPr>
        <w:t>portfolio over the long term</w:t>
      </w:r>
      <w:r>
        <w:rPr>
          <w:rFonts w:ascii="Verdana" w:hAnsi="Verdana"/>
          <w:snapToGrid w:val="0"/>
          <w:color w:val="0C1B27" w:themeColor="text1" w:themeShade="80"/>
          <w:sz w:val="20"/>
          <w:szCs w:val="20"/>
        </w:rPr>
        <w:t xml:space="preserve"> (its emissions profile) and has identified a good news story for investors in the GEF</w:t>
      </w:r>
      <w:r w:rsidRPr="00C810C0">
        <w:rPr>
          <w:rFonts w:ascii="Verdana" w:hAnsi="Verdana"/>
          <w:snapToGrid w:val="0"/>
          <w:color w:val="0C1B27" w:themeColor="text1" w:themeShade="80"/>
          <w:sz w:val="20"/>
          <w:szCs w:val="20"/>
        </w:rPr>
        <w:t>.</w:t>
      </w:r>
    </w:p>
    <w:p w:rsidR="00C810C0" w:rsidRDefault="00C24C2E" w:rsidP="00E31D49">
      <w:pPr>
        <w:spacing w:after="0"/>
        <w:jc w:val="both"/>
        <w:rPr>
          <w:rFonts w:ascii="Verdana" w:hAnsi="Verdana"/>
          <w:snapToGrid w:val="0"/>
          <w:color w:val="0C1B27" w:themeColor="text1" w:themeShade="80"/>
          <w:sz w:val="20"/>
          <w:szCs w:val="20"/>
        </w:rPr>
      </w:pPr>
    </w:p>
    <w:p w:rsidR="00026080" w:rsidRPr="00026080" w:rsidRDefault="00A73C70" w:rsidP="00E31D49">
      <w:pPr>
        <w:spacing w:after="0"/>
        <w:jc w:val="both"/>
        <w:rPr>
          <w:rFonts w:ascii="Verdana" w:hAnsi="Verdana"/>
          <w:b/>
          <w:snapToGrid w:val="0"/>
          <w:color w:val="0C1B27" w:themeColor="text1" w:themeShade="80"/>
          <w:sz w:val="20"/>
          <w:szCs w:val="20"/>
        </w:rPr>
      </w:pPr>
      <w:r w:rsidRPr="00026080">
        <w:rPr>
          <w:rFonts w:ascii="Verdana" w:hAnsi="Verdana"/>
          <w:b/>
          <w:snapToGrid w:val="0"/>
          <w:color w:val="0C1B27" w:themeColor="text1" w:themeShade="80"/>
          <w:sz w:val="20"/>
          <w:szCs w:val="20"/>
        </w:rPr>
        <w:t>Portfolio Emissions Intensity</w:t>
      </w:r>
    </w:p>
    <w:p w:rsidR="00026080" w:rsidRDefault="00C24C2E" w:rsidP="00E31D49">
      <w:pPr>
        <w:spacing w:after="0"/>
        <w:jc w:val="both"/>
        <w:rPr>
          <w:rFonts w:ascii="Verdana" w:hAnsi="Verdana"/>
          <w:snapToGrid w:val="0"/>
          <w:color w:val="0C1B27" w:themeColor="text1" w:themeShade="80"/>
          <w:sz w:val="20"/>
          <w:szCs w:val="20"/>
        </w:rPr>
      </w:pPr>
    </w:p>
    <w:p w:rsidR="00E31D49" w:rsidRPr="00635E0B" w:rsidRDefault="00A73C70" w:rsidP="00E31D49">
      <w:pPr>
        <w:spacing w:after="0"/>
        <w:jc w:val="both"/>
        <w:rPr>
          <w:rFonts w:ascii="Verdana" w:hAnsi="Verdana" w:cs="Arial"/>
          <w:bCs/>
          <w:color w:val="183850" w:themeColor="text1"/>
          <w:sz w:val="20"/>
          <w:szCs w:val="20"/>
        </w:rPr>
      </w:pPr>
      <w:r>
        <w:rPr>
          <w:rFonts w:ascii="Verdana" w:hAnsi="Verdana"/>
          <w:snapToGrid w:val="0"/>
          <w:color w:val="0C1B27" w:themeColor="text1" w:themeShade="80"/>
          <w:sz w:val="20"/>
          <w:szCs w:val="20"/>
        </w:rPr>
        <w:t>L</w:t>
      </w:r>
      <w:r w:rsidRPr="003606C9">
        <w:rPr>
          <w:rFonts w:ascii="Verdana" w:hAnsi="Verdana"/>
          <w:snapToGrid w:val="0"/>
          <w:color w:val="0C1B27" w:themeColor="text1" w:themeShade="80"/>
          <w:sz w:val="20"/>
          <w:szCs w:val="20"/>
        </w:rPr>
        <w:t xml:space="preserve">PPI’s </w:t>
      </w:r>
      <w:r>
        <w:rPr>
          <w:rFonts w:ascii="Verdana" w:hAnsi="Verdana"/>
          <w:snapToGrid w:val="0"/>
          <w:color w:val="0C1B27" w:themeColor="text1" w:themeShade="80"/>
          <w:sz w:val="20"/>
          <w:szCs w:val="20"/>
        </w:rPr>
        <w:t>new RI</w:t>
      </w:r>
      <w:r w:rsidRPr="003606C9">
        <w:rPr>
          <w:rFonts w:ascii="Verdana" w:hAnsi="Verdana"/>
          <w:snapToGrid w:val="0"/>
          <w:color w:val="0C1B27" w:themeColor="text1" w:themeShade="80"/>
          <w:sz w:val="20"/>
          <w:szCs w:val="20"/>
        </w:rPr>
        <w:t xml:space="preserve"> Policy</w:t>
      </w:r>
      <w:r>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Annex on Climate Change include</w:t>
      </w:r>
      <w:r>
        <w:rPr>
          <w:rFonts w:ascii="Verdana" w:hAnsi="Verdana"/>
          <w:snapToGrid w:val="0"/>
          <w:color w:val="0C1B27" w:themeColor="text1" w:themeShade="80"/>
          <w:sz w:val="20"/>
          <w:szCs w:val="20"/>
        </w:rPr>
        <w:t>s</w:t>
      </w:r>
      <w:r w:rsidRPr="003606C9">
        <w:rPr>
          <w:rFonts w:ascii="Verdana" w:hAnsi="Verdana"/>
          <w:snapToGrid w:val="0"/>
          <w:color w:val="0C1B27" w:themeColor="text1" w:themeShade="80"/>
          <w:sz w:val="20"/>
          <w:szCs w:val="20"/>
        </w:rPr>
        <w:t xml:space="preserve"> a commitment to review the alignment of the </w:t>
      </w:r>
      <w:r>
        <w:rPr>
          <w:rFonts w:ascii="Verdana" w:hAnsi="Verdana"/>
          <w:snapToGrid w:val="0"/>
          <w:color w:val="0C1B27" w:themeColor="text1" w:themeShade="80"/>
          <w:sz w:val="20"/>
          <w:szCs w:val="20"/>
        </w:rPr>
        <w:t>GEF</w:t>
      </w:r>
      <w:r w:rsidRPr="003606C9">
        <w:rPr>
          <w:rFonts w:ascii="Verdana" w:hAnsi="Verdana"/>
          <w:snapToGrid w:val="0"/>
          <w:color w:val="0C1B27" w:themeColor="text1" w:themeShade="80"/>
          <w:sz w:val="20"/>
          <w:szCs w:val="20"/>
        </w:rPr>
        <w:t xml:space="preserve"> with a 2°c pathway </w:t>
      </w:r>
      <w:r>
        <w:rPr>
          <w:rFonts w:ascii="Verdana" w:hAnsi="Verdana"/>
          <w:snapToGrid w:val="0"/>
          <w:color w:val="0C1B27" w:themeColor="text1" w:themeShade="80"/>
          <w:sz w:val="20"/>
          <w:szCs w:val="20"/>
        </w:rPr>
        <w:t xml:space="preserve">on an annual basis. This is </w:t>
      </w:r>
      <w:r w:rsidRPr="003606C9">
        <w:rPr>
          <w:rFonts w:ascii="Verdana" w:hAnsi="Verdana"/>
          <w:snapToGrid w:val="0"/>
          <w:color w:val="0C1B27" w:themeColor="text1" w:themeShade="80"/>
          <w:sz w:val="20"/>
          <w:szCs w:val="20"/>
        </w:rPr>
        <w:t xml:space="preserve">in order to reference </w:t>
      </w:r>
      <w:r>
        <w:rPr>
          <w:rFonts w:ascii="Verdana" w:hAnsi="Verdana"/>
          <w:snapToGrid w:val="0"/>
          <w:color w:val="0C1B27" w:themeColor="text1" w:themeShade="80"/>
          <w:sz w:val="20"/>
          <w:szCs w:val="20"/>
        </w:rPr>
        <w:t>the emissions</w:t>
      </w:r>
      <w:r w:rsidRPr="003606C9">
        <w:rPr>
          <w:rFonts w:ascii="Verdana" w:hAnsi="Verdana"/>
          <w:snapToGrid w:val="0"/>
          <w:color w:val="0C1B27" w:themeColor="text1" w:themeShade="80"/>
          <w:sz w:val="20"/>
          <w:szCs w:val="20"/>
        </w:rPr>
        <w:t xml:space="preserve"> position relative to the goals of the Paris Agreement. </w:t>
      </w:r>
    </w:p>
    <w:p w:rsidR="003606C9" w:rsidRDefault="00C24C2E" w:rsidP="003606C9">
      <w:pPr>
        <w:spacing w:after="0"/>
        <w:rPr>
          <w:rFonts w:ascii="Verdana" w:hAnsi="Verdana"/>
          <w:snapToGrid w:val="0"/>
          <w:color w:val="0C1B27" w:themeColor="text1" w:themeShade="80"/>
          <w:sz w:val="20"/>
          <w:szCs w:val="20"/>
        </w:rPr>
      </w:pPr>
    </w:p>
    <w:p w:rsidR="00C810C0" w:rsidRDefault="00A73C70" w:rsidP="003606C9">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To fulfil the new commitment, p</w:t>
      </w:r>
      <w:r w:rsidRPr="003606C9">
        <w:rPr>
          <w:rFonts w:ascii="Verdana" w:hAnsi="Verdana"/>
          <w:snapToGrid w:val="0"/>
          <w:color w:val="0C1B27" w:themeColor="text1" w:themeShade="80"/>
          <w:sz w:val="20"/>
          <w:szCs w:val="20"/>
        </w:rPr>
        <w:t xml:space="preserve">ortfolio analysis has recently been produced by </w:t>
      </w:r>
      <w:r>
        <w:rPr>
          <w:rFonts w:ascii="Verdana" w:hAnsi="Verdana"/>
          <w:snapToGrid w:val="0"/>
          <w:color w:val="0C1B27" w:themeColor="text1" w:themeShade="80"/>
          <w:sz w:val="20"/>
          <w:szCs w:val="20"/>
        </w:rPr>
        <w:t xml:space="preserve">an </w:t>
      </w:r>
      <w:r w:rsidRPr="003606C9">
        <w:rPr>
          <w:rFonts w:ascii="Verdana" w:hAnsi="Verdana"/>
          <w:snapToGrid w:val="0"/>
          <w:color w:val="0C1B27" w:themeColor="text1" w:themeShade="80"/>
          <w:sz w:val="20"/>
          <w:szCs w:val="20"/>
        </w:rPr>
        <w:t xml:space="preserve">external </w:t>
      </w:r>
      <w:r>
        <w:rPr>
          <w:rFonts w:ascii="Verdana" w:hAnsi="Verdana"/>
          <w:snapToGrid w:val="0"/>
          <w:color w:val="0C1B27" w:themeColor="text1" w:themeShade="80"/>
          <w:sz w:val="20"/>
          <w:szCs w:val="20"/>
        </w:rPr>
        <w:t xml:space="preserve">data </w:t>
      </w:r>
      <w:r w:rsidRPr="003606C9">
        <w:rPr>
          <w:rFonts w:ascii="Verdana" w:hAnsi="Verdana"/>
          <w:snapToGrid w:val="0"/>
          <w:color w:val="0C1B27" w:themeColor="text1" w:themeShade="80"/>
          <w:sz w:val="20"/>
          <w:szCs w:val="20"/>
        </w:rPr>
        <w:t xml:space="preserve">provider </w:t>
      </w:r>
      <w:r>
        <w:rPr>
          <w:rFonts w:ascii="Verdana" w:hAnsi="Verdana"/>
          <w:snapToGrid w:val="0"/>
          <w:color w:val="0C1B27" w:themeColor="text1" w:themeShade="80"/>
          <w:sz w:val="20"/>
          <w:szCs w:val="20"/>
        </w:rPr>
        <w:t>(</w:t>
      </w:r>
      <w:r w:rsidRPr="003606C9">
        <w:rPr>
          <w:rFonts w:ascii="Verdana" w:hAnsi="Verdana"/>
          <w:snapToGrid w:val="0"/>
          <w:color w:val="0C1B27" w:themeColor="text1" w:themeShade="80"/>
          <w:sz w:val="20"/>
          <w:szCs w:val="20"/>
        </w:rPr>
        <w:t>Engaged Tracking</w:t>
      </w:r>
      <w:r>
        <w:rPr>
          <w:rFonts w:ascii="Verdana" w:hAnsi="Verdana"/>
          <w:snapToGrid w:val="0"/>
          <w:color w:val="0C1B27" w:themeColor="text1" w:themeShade="80"/>
          <w:sz w:val="20"/>
          <w:szCs w:val="20"/>
        </w:rPr>
        <w:t xml:space="preserve">) whose report presents the outcome of comparing the GEF’s emissions with the levels needed to achieve the Paris Agreement goal of </w:t>
      </w:r>
      <w:r w:rsidRPr="003606C9">
        <w:rPr>
          <w:rFonts w:ascii="Verdana" w:hAnsi="Verdana"/>
          <w:snapToGrid w:val="0"/>
          <w:color w:val="0C1B27" w:themeColor="text1" w:themeShade="80"/>
          <w:sz w:val="20"/>
          <w:szCs w:val="20"/>
        </w:rPr>
        <w:t>2°c</w:t>
      </w:r>
      <w:r>
        <w:rPr>
          <w:rFonts w:ascii="Verdana" w:hAnsi="Verdana"/>
          <w:snapToGrid w:val="0"/>
          <w:color w:val="0C1B27" w:themeColor="text1" w:themeShade="80"/>
          <w:sz w:val="20"/>
          <w:szCs w:val="20"/>
        </w:rPr>
        <w:t xml:space="preserve">. The comparison has revealed </w:t>
      </w:r>
      <w:r w:rsidRPr="003606C9">
        <w:rPr>
          <w:rFonts w:ascii="Verdana" w:hAnsi="Verdana"/>
          <w:snapToGrid w:val="0"/>
          <w:color w:val="0C1B27" w:themeColor="text1" w:themeShade="80"/>
          <w:sz w:val="20"/>
          <w:szCs w:val="20"/>
        </w:rPr>
        <w:t xml:space="preserve">a very positive position for the GEF </w:t>
      </w:r>
      <w:r>
        <w:rPr>
          <w:rFonts w:ascii="Verdana" w:hAnsi="Verdana"/>
          <w:snapToGrid w:val="0"/>
          <w:color w:val="0C1B27" w:themeColor="text1" w:themeShade="80"/>
          <w:sz w:val="20"/>
          <w:szCs w:val="20"/>
        </w:rPr>
        <w:t>(and by extension for funds holding units in the GEF).</w:t>
      </w:r>
    </w:p>
    <w:p w:rsidR="00C810C0" w:rsidRDefault="00C24C2E" w:rsidP="00C810C0">
      <w:pPr>
        <w:spacing w:after="0"/>
        <w:rPr>
          <w:rFonts w:ascii="Verdana" w:hAnsi="Verdana"/>
          <w:snapToGrid w:val="0"/>
          <w:color w:val="0C1B27" w:themeColor="text1" w:themeShade="80"/>
          <w:sz w:val="20"/>
          <w:szCs w:val="20"/>
        </w:rPr>
      </w:pPr>
    </w:p>
    <w:p w:rsidR="00C810C0" w:rsidRDefault="00A73C70" w:rsidP="00C810C0">
      <w:pPr>
        <w:spacing w:after="0"/>
        <w:rPr>
          <w:rFonts w:ascii="Verdana" w:hAnsi="Verdana"/>
          <w:snapToGrid w:val="0"/>
          <w:color w:val="0C1B27" w:themeColor="text1" w:themeShade="80"/>
          <w:sz w:val="20"/>
          <w:szCs w:val="20"/>
        </w:rPr>
      </w:pPr>
      <w:r w:rsidRPr="003606C9">
        <w:rPr>
          <w:rFonts w:ascii="Verdana" w:hAnsi="Verdana"/>
          <w:snapToGrid w:val="0"/>
          <w:color w:val="0C1B27" w:themeColor="text1" w:themeShade="80"/>
          <w:sz w:val="20"/>
          <w:szCs w:val="20"/>
        </w:rPr>
        <w:t xml:space="preserve">Analysis of the </w:t>
      </w:r>
      <w:r>
        <w:rPr>
          <w:rFonts w:ascii="Verdana" w:hAnsi="Verdana"/>
          <w:snapToGrid w:val="0"/>
          <w:color w:val="0C1B27" w:themeColor="text1" w:themeShade="80"/>
          <w:sz w:val="20"/>
          <w:szCs w:val="20"/>
        </w:rPr>
        <w:t>GEF</w:t>
      </w:r>
      <w:r w:rsidRPr="003606C9">
        <w:rPr>
          <w:rFonts w:ascii="Verdana" w:hAnsi="Verdana"/>
          <w:snapToGrid w:val="0"/>
          <w:color w:val="0C1B27" w:themeColor="text1" w:themeShade="80"/>
          <w:sz w:val="20"/>
          <w:szCs w:val="20"/>
        </w:rPr>
        <w:t xml:space="preserve">’s alignment with </w:t>
      </w:r>
      <w:r>
        <w:rPr>
          <w:rFonts w:ascii="Verdana" w:hAnsi="Verdana"/>
          <w:snapToGrid w:val="0"/>
          <w:color w:val="0C1B27" w:themeColor="text1" w:themeShade="80"/>
          <w:sz w:val="20"/>
          <w:szCs w:val="20"/>
        </w:rPr>
        <w:t xml:space="preserve">the </w:t>
      </w:r>
      <w:r w:rsidRPr="003606C9">
        <w:rPr>
          <w:rFonts w:ascii="Verdana" w:hAnsi="Verdana"/>
          <w:snapToGrid w:val="0"/>
          <w:color w:val="0C1B27" w:themeColor="text1" w:themeShade="80"/>
          <w:sz w:val="20"/>
          <w:szCs w:val="20"/>
        </w:rPr>
        <w:t xml:space="preserve">Paris target </w:t>
      </w:r>
      <w:r>
        <w:rPr>
          <w:rFonts w:ascii="Verdana" w:hAnsi="Verdana"/>
          <w:snapToGrid w:val="0"/>
          <w:color w:val="0C1B27" w:themeColor="text1" w:themeShade="80"/>
          <w:sz w:val="20"/>
          <w:szCs w:val="20"/>
        </w:rPr>
        <w:t>wa</w:t>
      </w:r>
      <w:r w:rsidRPr="003606C9">
        <w:rPr>
          <w:rFonts w:ascii="Verdana" w:hAnsi="Verdana"/>
          <w:snapToGrid w:val="0"/>
          <w:color w:val="0C1B27" w:themeColor="text1" w:themeShade="80"/>
          <w:sz w:val="20"/>
          <w:szCs w:val="20"/>
        </w:rPr>
        <w:t xml:space="preserve">s based on forecasting the total emissions the global economy would have </w:t>
      </w:r>
      <w:r>
        <w:rPr>
          <w:rFonts w:ascii="Verdana" w:hAnsi="Verdana"/>
          <w:snapToGrid w:val="0"/>
          <w:color w:val="0C1B27" w:themeColor="text1" w:themeShade="80"/>
          <w:sz w:val="20"/>
          <w:szCs w:val="20"/>
        </w:rPr>
        <w:t xml:space="preserve">if </w:t>
      </w:r>
      <w:r w:rsidRPr="003606C9">
        <w:rPr>
          <w:rFonts w:ascii="Verdana" w:hAnsi="Verdana"/>
          <w:snapToGrid w:val="0"/>
          <w:color w:val="0C1B27" w:themeColor="text1" w:themeShade="80"/>
          <w:sz w:val="20"/>
          <w:szCs w:val="20"/>
        </w:rPr>
        <w:t>it had the same composition as the GEF</w:t>
      </w:r>
      <w:r>
        <w:rPr>
          <w:rFonts w:ascii="Verdana" w:hAnsi="Verdana"/>
          <w:snapToGrid w:val="0"/>
          <w:color w:val="0C1B27" w:themeColor="text1" w:themeShade="80"/>
          <w:sz w:val="20"/>
          <w:szCs w:val="20"/>
        </w:rPr>
        <w:t xml:space="preserve"> and comparing this position with</w:t>
      </w:r>
      <w:r w:rsidRPr="003606C9">
        <w:rPr>
          <w:rFonts w:ascii="Verdana" w:hAnsi="Verdana"/>
          <w:snapToGrid w:val="0"/>
          <w:color w:val="0C1B27" w:themeColor="text1" w:themeShade="80"/>
          <w:sz w:val="20"/>
          <w:szCs w:val="20"/>
        </w:rPr>
        <w:t xml:space="preserve"> the global emissions expected under the scenarios that lead to global average temperature increases of 2.7°c, </w:t>
      </w:r>
      <w:bookmarkStart w:id="1" w:name="_Hlk769309"/>
      <w:r w:rsidRPr="003606C9">
        <w:rPr>
          <w:rFonts w:ascii="Verdana" w:hAnsi="Verdana"/>
          <w:snapToGrid w:val="0"/>
          <w:color w:val="0C1B27" w:themeColor="text1" w:themeShade="80"/>
          <w:sz w:val="20"/>
          <w:szCs w:val="20"/>
        </w:rPr>
        <w:t xml:space="preserve">2°c and 1.75°c. </w:t>
      </w:r>
      <w:bookmarkEnd w:id="1"/>
      <w:r>
        <w:rPr>
          <w:rFonts w:ascii="Verdana" w:hAnsi="Verdana"/>
          <w:snapToGrid w:val="0"/>
          <w:color w:val="0C1B27" w:themeColor="text1" w:themeShade="80"/>
          <w:sz w:val="20"/>
          <w:szCs w:val="20"/>
        </w:rPr>
        <w:t>Positions and p</w:t>
      </w:r>
      <w:r w:rsidRPr="003606C9">
        <w:rPr>
          <w:rFonts w:ascii="Verdana" w:hAnsi="Verdana"/>
          <w:snapToGrid w:val="0"/>
          <w:color w:val="0C1B27" w:themeColor="text1" w:themeShade="80"/>
          <w:sz w:val="20"/>
          <w:szCs w:val="20"/>
        </w:rPr>
        <w:t xml:space="preserve">athways are </w:t>
      </w:r>
      <w:r>
        <w:rPr>
          <w:rFonts w:ascii="Verdana" w:hAnsi="Verdana"/>
          <w:snapToGrid w:val="0"/>
          <w:color w:val="0C1B27" w:themeColor="text1" w:themeShade="80"/>
          <w:sz w:val="20"/>
          <w:szCs w:val="20"/>
        </w:rPr>
        <w:t xml:space="preserve">then </w:t>
      </w:r>
      <w:r w:rsidRPr="003606C9">
        <w:rPr>
          <w:rFonts w:ascii="Verdana" w:hAnsi="Verdana"/>
          <w:snapToGrid w:val="0"/>
          <w:color w:val="0C1B27" w:themeColor="text1" w:themeShade="80"/>
          <w:sz w:val="20"/>
          <w:szCs w:val="20"/>
        </w:rPr>
        <w:t xml:space="preserve">expressed as proportions of global emissions in 2014. </w:t>
      </w:r>
    </w:p>
    <w:p w:rsidR="00026080" w:rsidRDefault="00C24C2E" w:rsidP="00C810C0">
      <w:pPr>
        <w:spacing w:after="0"/>
        <w:rPr>
          <w:rFonts w:ascii="Verdana" w:hAnsi="Verdana"/>
          <w:snapToGrid w:val="0"/>
          <w:color w:val="0C1B27" w:themeColor="text1" w:themeShade="80"/>
          <w:sz w:val="20"/>
          <w:szCs w:val="20"/>
        </w:rPr>
      </w:pPr>
    </w:p>
    <w:p w:rsidR="00026080" w:rsidRDefault="00A73C70" w:rsidP="003606C9">
      <w:pPr>
        <w:spacing w:after="0"/>
        <w:rPr>
          <w:rFonts w:ascii="Verdana" w:hAnsi="Verdana"/>
          <w:b/>
          <w:snapToGrid w:val="0"/>
          <w:color w:val="0C1B27" w:themeColor="text1" w:themeShade="80"/>
          <w:sz w:val="20"/>
          <w:szCs w:val="20"/>
          <w:u w:val="single"/>
        </w:rPr>
      </w:pPr>
      <w:r w:rsidRPr="00026080">
        <w:rPr>
          <w:rFonts w:ascii="Verdana" w:hAnsi="Verdana"/>
          <w:b/>
          <w:snapToGrid w:val="0"/>
          <w:color w:val="0C1B27" w:themeColor="text1" w:themeShade="80"/>
          <w:sz w:val="20"/>
          <w:szCs w:val="20"/>
          <w:u w:val="single"/>
        </w:rPr>
        <w:t>LPPI Global Equit</w:t>
      </w:r>
      <w:r>
        <w:rPr>
          <w:rFonts w:ascii="Verdana" w:hAnsi="Verdana"/>
          <w:b/>
          <w:snapToGrid w:val="0"/>
          <w:color w:val="0C1B27" w:themeColor="text1" w:themeShade="80"/>
          <w:sz w:val="20"/>
          <w:szCs w:val="20"/>
          <w:u w:val="single"/>
        </w:rPr>
        <w:t>ies</w:t>
      </w:r>
      <w:r w:rsidRPr="00026080">
        <w:rPr>
          <w:rFonts w:ascii="Verdana" w:hAnsi="Verdana"/>
          <w:b/>
          <w:snapToGrid w:val="0"/>
          <w:color w:val="0C1B27" w:themeColor="text1" w:themeShade="80"/>
          <w:sz w:val="20"/>
          <w:szCs w:val="20"/>
          <w:u w:val="single"/>
        </w:rPr>
        <w:t xml:space="preserve"> Fund</w:t>
      </w:r>
      <w:r>
        <w:rPr>
          <w:rFonts w:ascii="Verdana" w:hAnsi="Verdana"/>
          <w:b/>
          <w:snapToGrid w:val="0"/>
          <w:color w:val="0C1B27" w:themeColor="text1" w:themeShade="80"/>
          <w:sz w:val="20"/>
          <w:szCs w:val="20"/>
          <w:u w:val="single"/>
        </w:rPr>
        <w:t xml:space="preserve"> </w:t>
      </w:r>
      <w:r w:rsidRPr="00026080">
        <w:rPr>
          <w:rFonts w:ascii="Verdana" w:hAnsi="Verdana"/>
          <w:b/>
          <w:snapToGrid w:val="0"/>
          <w:color w:val="0C1B27" w:themeColor="text1" w:themeShade="80"/>
          <w:sz w:val="20"/>
          <w:szCs w:val="20"/>
          <w:u w:val="single"/>
        </w:rPr>
        <w:t xml:space="preserve">- Alignment with Decarbonisation Pathways </w:t>
      </w:r>
    </w:p>
    <w:p w:rsidR="00C810C0" w:rsidRPr="00026080" w:rsidRDefault="00A73C70" w:rsidP="003606C9">
      <w:pPr>
        <w:spacing w:after="0"/>
        <w:rPr>
          <w:rFonts w:ascii="Verdana" w:hAnsi="Verdana"/>
          <w:b/>
          <w:snapToGrid w:val="0"/>
          <w:color w:val="0C1B27" w:themeColor="text1" w:themeShade="80"/>
          <w:sz w:val="20"/>
          <w:szCs w:val="20"/>
          <w:u w:val="single"/>
        </w:rPr>
      </w:pPr>
      <w:r w:rsidRPr="00026080">
        <w:rPr>
          <w:rFonts w:ascii="Verdana" w:hAnsi="Verdana"/>
          <w:b/>
          <w:snapToGrid w:val="0"/>
          <w:color w:val="0C1B27" w:themeColor="text1" w:themeShade="80"/>
          <w:sz w:val="20"/>
          <w:szCs w:val="20"/>
          <w:u w:val="single"/>
        </w:rPr>
        <w:t>(</w:t>
      </w:r>
      <w:r>
        <w:rPr>
          <w:rFonts w:ascii="Verdana" w:hAnsi="Verdana"/>
          <w:b/>
          <w:snapToGrid w:val="0"/>
          <w:color w:val="0C1B27" w:themeColor="text1" w:themeShade="80"/>
          <w:sz w:val="20"/>
          <w:szCs w:val="20"/>
          <w:u w:val="single"/>
        </w:rPr>
        <w:t xml:space="preserve">Holdings as at </w:t>
      </w:r>
      <w:r w:rsidRPr="00026080">
        <w:rPr>
          <w:rFonts w:ascii="Verdana" w:hAnsi="Verdana"/>
          <w:b/>
          <w:snapToGrid w:val="0"/>
          <w:color w:val="0C1B27" w:themeColor="text1" w:themeShade="80"/>
          <w:sz w:val="20"/>
          <w:szCs w:val="20"/>
          <w:u w:val="single"/>
        </w:rPr>
        <w:t>31.12.18)</w:t>
      </w:r>
    </w:p>
    <w:p w:rsidR="00EA6377" w:rsidRDefault="00C24C2E" w:rsidP="00EC552F">
      <w:pPr>
        <w:spacing w:after="0"/>
        <w:rPr>
          <w:rFonts w:ascii="Verdana" w:hAnsi="Verdana"/>
          <w:color w:val="183850" w:themeColor="text1"/>
          <w:sz w:val="20"/>
          <w:szCs w:val="20"/>
        </w:rPr>
      </w:pPr>
    </w:p>
    <w:p w:rsidR="00DE0A23" w:rsidRDefault="00A73C70" w:rsidP="00EC552F">
      <w:pPr>
        <w:spacing w:after="0"/>
        <w:rPr>
          <w:rFonts w:ascii="Verdana" w:hAnsi="Verdana"/>
          <w:color w:val="183850" w:themeColor="text1"/>
          <w:sz w:val="20"/>
          <w:szCs w:val="20"/>
        </w:rPr>
      </w:pPr>
      <w:r>
        <w:rPr>
          <w:noProof/>
          <w:lang w:eastAsia="en-GB"/>
        </w:rPr>
        <w:drawing>
          <wp:anchor distT="0" distB="0" distL="114300" distR="114300" simplePos="0" relativeHeight="251671552" behindDoc="0" locked="0" layoutInCell="1" allowOverlap="1">
            <wp:simplePos x="0" y="0"/>
            <wp:positionH relativeFrom="column">
              <wp:posOffset>809625</wp:posOffset>
            </wp:positionH>
            <wp:positionV relativeFrom="paragraph">
              <wp:posOffset>38100</wp:posOffset>
            </wp:positionV>
            <wp:extent cx="4810125" cy="3461385"/>
            <wp:effectExtent l="19050" t="19050" r="19050" b="24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211327" name=""/>
                    <pic:cNvPicPr/>
                  </pic:nvPicPr>
                  <pic:blipFill rotWithShape="1">
                    <a:blip r:embed="rId18">
                      <a:extLst>
                        <a:ext uri="{28A0092B-C50C-407E-A947-70E740481C1C}">
                          <a14:useLocalDpi xmlns:a14="http://schemas.microsoft.com/office/drawing/2010/main" val="0"/>
                        </a:ext>
                      </a:extLst>
                    </a:blip>
                    <a:srcRect l="3609"/>
                    <a:stretch>
                      <a:fillRect/>
                    </a:stretch>
                  </pic:blipFill>
                  <pic:spPr bwMode="auto">
                    <a:xfrm>
                      <a:off x="0" y="0"/>
                      <a:ext cx="4810125" cy="3461385"/>
                    </a:xfrm>
                    <a:prstGeom prst="rect">
                      <a:avLst/>
                    </a:prstGeom>
                    <a:ln w="9525">
                      <a:solidFill>
                        <a:srgbClr val="183850"/>
                      </a:solidFill>
                      <a:round/>
                      <a:headEnd/>
                      <a:tailEn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0A23" w:rsidRDefault="00C24C2E" w:rsidP="00EC552F">
      <w:pPr>
        <w:spacing w:after="0"/>
        <w:rPr>
          <w:rFonts w:ascii="Verdana" w:hAnsi="Verdana"/>
          <w:color w:val="183850" w:themeColor="text1"/>
          <w:sz w:val="20"/>
          <w:szCs w:val="20"/>
        </w:rPr>
      </w:pPr>
    </w:p>
    <w:p w:rsidR="00DE0A23" w:rsidRDefault="00C24C2E" w:rsidP="00EC552F">
      <w:pPr>
        <w:spacing w:after="0"/>
        <w:rPr>
          <w:rFonts w:ascii="Verdana" w:hAnsi="Verdana"/>
          <w:color w:val="183850" w:themeColor="text1"/>
          <w:sz w:val="20"/>
          <w:szCs w:val="20"/>
        </w:rPr>
      </w:pPr>
    </w:p>
    <w:p w:rsidR="00DE0A23" w:rsidRDefault="00C24C2E" w:rsidP="00EC552F">
      <w:pPr>
        <w:spacing w:after="0"/>
        <w:rPr>
          <w:rFonts w:ascii="Verdana" w:hAnsi="Verdana"/>
          <w:color w:val="183850" w:themeColor="text1"/>
          <w:sz w:val="20"/>
          <w:szCs w:val="20"/>
        </w:rPr>
      </w:pPr>
    </w:p>
    <w:p w:rsidR="00DE0A23" w:rsidRDefault="00C24C2E" w:rsidP="00EC552F">
      <w:pPr>
        <w:spacing w:after="0"/>
        <w:rPr>
          <w:rFonts w:ascii="Verdana" w:hAnsi="Verdana"/>
          <w:color w:val="183850" w:themeColor="text1"/>
          <w:sz w:val="20"/>
          <w:szCs w:val="20"/>
        </w:rPr>
      </w:pPr>
    </w:p>
    <w:p w:rsidR="00DE0A23" w:rsidRDefault="00C24C2E" w:rsidP="00EC552F">
      <w:pPr>
        <w:spacing w:after="0"/>
        <w:rPr>
          <w:rFonts w:ascii="Verdana" w:hAnsi="Verdana"/>
          <w:color w:val="183850" w:themeColor="text1"/>
          <w:sz w:val="20"/>
          <w:szCs w:val="20"/>
        </w:rPr>
      </w:pPr>
    </w:p>
    <w:p w:rsidR="00DE0A23" w:rsidRDefault="00A73C70" w:rsidP="00EC552F">
      <w:pPr>
        <w:spacing w:after="0"/>
        <w:rPr>
          <w:rFonts w:ascii="Verdana" w:hAnsi="Verdana"/>
          <w:color w:val="183850" w:themeColor="text1"/>
          <w:sz w:val="20"/>
          <w:szCs w:val="20"/>
        </w:rPr>
      </w:pPr>
      <w:r>
        <w:rPr>
          <w:rFonts w:ascii="Verdana" w:hAnsi="Verdana"/>
          <w:noProof/>
          <w:color w:val="183850" w:themeColor="text1"/>
          <w:sz w:val="20"/>
          <w:szCs w:val="20"/>
          <w:lang w:eastAsia="en-GB"/>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30480</wp:posOffset>
                </wp:positionV>
                <wp:extent cx="771525" cy="484632"/>
                <wp:effectExtent l="0" t="19050" r="47625" b="29845"/>
                <wp:wrapNone/>
                <wp:docPr id="8" name="Arrow: Right 8"/>
                <wp:cNvGraphicFramePr/>
                <a:graphic xmlns:a="http://schemas.openxmlformats.org/drawingml/2006/main">
                  <a:graphicData uri="http://schemas.microsoft.com/office/word/2010/wordprocessingShape">
                    <wps:wsp>
                      <wps:cNvSpPr/>
                      <wps:spPr>
                        <a:xfrm>
                          <a:off x="0" y="0"/>
                          <a:ext cx="771525" cy="484632"/>
                        </a:xfrm>
                        <a:prstGeom prst="rightArrow">
                          <a:avLst/>
                        </a:prstGeom>
                        <a:noFill/>
                        <a:ln w="3175">
                          <a:solidFill>
                            <a:srgbClr val="0E0B2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1" type="#_x0000_t13" style="width:60.75pt;height:38.15pt;margin-top:2.4pt;margin-left:0;mso-position-horizontal:left;mso-position-horizontal-relative:margin;mso-width-percent:0;mso-width-relative:margin;mso-wrap-distance-bottom:0;mso-wrap-distance-left:9pt;mso-wrap-distance-right:9pt;mso-wrap-distance-top:0;mso-wrap-style:square;position:absolute;visibility:visible;v-text-anchor:middle;z-index:251673600" adj="14816" filled="f" strokecolor="#0e0b25" strokeweight="0.25pt">
                <w10:wrap anchorx="margin"/>
              </v:shape>
            </w:pict>
          </mc:Fallback>
        </mc:AlternateContent>
      </w:r>
    </w:p>
    <w:p w:rsidR="00DE0A23" w:rsidRPr="00DE0A23" w:rsidRDefault="00A73C70" w:rsidP="00EC552F">
      <w:pPr>
        <w:spacing w:after="0"/>
        <w:rPr>
          <w:rFonts w:ascii="Verdana" w:hAnsi="Verdana"/>
          <w:color w:val="183850" w:themeColor="text1"/>
          <w:sz w:val="16"/>
          <w:szCs w:val="16"/>
        </w:rPr>
      </w:pPr>
      <w:r>
        <w:rPr>
          <w:rFonts w:ascii="Verdana" w:hAnsi="Verdana"/>
          <w:color w:val="183850" w:themeColor="text1"/>
          <w:sz w:val="16"/>
          <w:szCs w:val="16"/>
        </w:rPr>
        <w:t xml:space="preserve"> </w:t>
      </w:r>
      <w:r w:rsidRPr="00DE0A23">
        <w:rPr>
          <w:rFonts w:ascii="Verdana" w:hAnsi="Verdana"/>
          <w:color w:val="183850" w:themeColor="text1"/>
          <w:sz w:val="16"/>
          <w:szCs w:val="16"/>
        </w:rPr>
        <w:t>Benchmark</w:t>
      </w:r>
    </w:p>
    <w:p w:rsidR="00DE0A23" w:rsidRDefault="00C24C2E" w:rsidP="00EC552F">
      <w:pPr>
        <w:spacing w:after="0"/>
        <w:rPr>
          <w:rFonts w:ascii="Verdana" w:hAnsi="Verdana"/>
          <w:color w:val="183850" w:themeColor="text1"/>
          <w:sz w:val="20"/>
          <w:szCs w:val="20"/>
        </w:rPr>
      </w:pPr>
    </w:p>
    <w:p w:rsidR="00DE0A23" w:rsidRDefault="00C24C2E" w:rsidP="00DE0A23">
      <w:pPr>
        <w:spacing w:after="0"/>
        <w:rPr>
          <w:rFonts w:ascii="Verdana" w:hAnsi="Verdana"/>
          <w:color w:val="183850" w:themeColor="text1"/>
          <w:sz w:val="20"/>
          <w:szCs w:val="20"/>
        </w:rPr>
      </w:pPr>
    </w:p>
    <w:p w:rsidR="00DE0A23" w:rsidRDefault="00A73C70" w:rsidP="00EC552F">
      <w:pPr>
        <w:spacing w:after="0"/>
        <w:rPr>
          <w:rFonts w:ascii="Verdana" w:hAnsi="Verdana"/>
          <w:color w:val="183850" w:themeColor="text1"/>
          <w:sz w:val="20"/>
          <w:szCs w:val="20"/>
        </w:rPr>
      </w:pPr>
      <w:r>
        <w:rPr>
          <w:rFonts w:ascii="Verdana" w:hAnsi="Verdana"/>
          <w:noProof/>
          <w:color w:val="183850" w:themeColor="text1"/>
          <w:sz w:val="20"/>
          <w:szCs w:val="20"/>
          <w:lang w:eastAsia="en-GB"/>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154940</wp:posOffset>
                </wp:positionV>
                <wp:extent cx="771525" cy="484632"/>
                <wp:effectExtent l="0" t="19050" r="47625" b="29845"/>
                <wp:wrapNone/>
                <wp:docPr id="9" name="Arrow: Right 9"/>
                <wp:cNvGraphicFramePr/>
                <a:graphic xmlns:a="http://schemas.openxmlformats.org/drawingml/2006/main">
                  <a:graphicData uri="http://schemas.microsoft.com/office/word/2010/wordprocessingShape">
                    <wps:wsp>
                      <wps:cNvSpPr/>
                      <wps:spPr>
                        <a:xfrm>
                          <a:off x="0" y="0"/>
                          <a:ext cx="771525" cy="484632"/>
                        </a:xfrm>
                        <a:prstGeom prst="rightArrow">
                          <a:avLst/>
                        </a:prstGeom>
                        <a:noFill/>
                        <a:ln w="3175">
                          <a:solidFill>
                            <a:srgbClr val="0E0B25"/>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Arrow: Right 9" o:spid="_x0000_s1032" type="#_x0000_t13" style="width:60.75pt;height:38.15pt;margin-top:12.2pt;margin-left:0;mso-position-horizontal:left;mso-position-horizontal-relative:margin;mso-width-percent:0;mso-width-relative:margin;mso-wrap-distance-bottom:0;mso-wrap-distance-left:9pt;mso-wrap-distance-right:9pt;mso-wrap-distance-top:0;mso-wrap-style:square;position:absolute;visibility:visible;v-text-anchor:middle;z-index:251675648" adj="14816" filled="f" strokecolor="#0e0b25" strokeweight="0.25pt">
                <w10:wrap anchorx="margin"/>
              </v:shape>
            </w:pict>
          </mc:Fallback>
        </mc:AlternateContent>
      </w:r>
    </w:p>
    <w:p w:rsidR="00DE0A23" w:rsidRDefault="00C24C2E" w:rsidP="00EC552F">
      <w:pPr>
        <w:spacing w:after="0"/>
        <w:rPr>
          <w:rFonts w:ascii="Verdana" w:hAnsi="Verdana"/>
          <w:color w:val="183850" w:themeColor="text1"/>
          <w:sz w:val="20"/>
          <w:szCs w:val="20"/>
        </w:rPr>
      </w:pPr>
    </w:p>
    <w:p w:rsidR="00DE0A23" w:rsidRPr="00DE0A23" w:rsidRDefault="00A73C70" w:rsidP="00EC552F">
      <w:pPr>
        <w:spacing w:after="0"/>
        <w:rPr>
          <w:rFonts w:ascii="Verdana" w:hAnsi="Verdana"/>
          <w:color w:val="183850" w:themeColor="text1"/>
          <w:sz w:val="16"/>
          <w:szCs w:val="16"/>
        </w:rPr>
      </w:pPr>
      <w:r>
        <w:rPr>
          <w:rFonts w:ascii="Verdana" w:hAnsi="Verdana"/>
          <w:color w:val="183850" w:themeColor="text1"/>
          <w:sz w:val="16"/>
          <w:szCs w:val="16"/>
        </w:rPr>
        <w:t xml:space="preserve">  </w:t>
      </w:r>
      <w:r w:rsidRPr="00DE0A23">
        <w:rPr>
          <w:rFonts w:ascii="Verdana" w:hAnsi="Verdana"/>
          <w:color w:val="183850" w:themeColor="text1"/>
          <w:sz w:val="16"/>
          <w:szCs w:val="16"/>
        </w:rPr>
        <w:t>GEF</w:t>
      </w:r>
    </w:p>
    <w:p w:rsidR="00DE0A23" w:rsidRDefault="00C24C2E" w:rsidP="00EC552F">
      <w:pPr>
        <w:spacing w:after="0"/>
        <w:rPr>
          <w:rFonts w:ascii="Verdana" w:hAnsi="Verdana"/>
          <w:color w:val="183850" w:themeColor="text1"/>
          <w:sz w:val="20"/>
          <w:szCs w:val="20"/>
        </w:rPr>
      </w:pPr>
    </w:p>
    <w:p w:rsidR="00B96CB9" w:rsidRDefault="00C24C2E" w:rsidP="00635E0B">
      <w:pPr>
        <w:spacing w:after="0"/>
        <w:jc w:val="both"/>
        <w:rPr>
          <w:rFonts w:ascii="Verdana" w:hAnsi="Verdana" w:cs="Arial"/>
          <w:bCs/>
          <w:color w:val="183850" w:themeColor="text1"/>
          <w:sz w:val="20"/>
          <w:szCs w:val="20"/>
        </w:rPr>
      </w:pPr>
    </w:p>
    <w:p w:rsidR="00C810C0" w:rsidRDefault="00C24C2E" w:rsidP="00C810C0">
      <w:pPr>
        <w:spacing w:after="0"/>
        <w:rPr>
          <w:rFonts w:ascii="Verdana" w:hAnsi="Verdana"/>
          <w:snapToGrid w:val="0"/>
          <w:color w:val="0C1B27" w:themeColor="text1" w:themeShade="80"/>
          <w:sz w:val="20"/>
          <w:szCs w:val="20"/>
        </w:rPr>
      </w:pPr>
    </w:p>
    <w:p w:rsidR="00DE0A23" w:rsidRDefault="00C24C2E" w:rsidP="00026080">
      <w:pPr>
        <w:spacing w:after="0"/>
        <w:rPr>
          <w:rFonts w:ascii="Verdana" w:hAnsi="Verdana"/>
          <w:snapToGrid w:val="0"/>
          <w:color w:val="0C1B27" w:themeColor="text1" w:themeShade="80"/>
          <w:sz w:val="20"/>
          <w:szCs w:val="20"/>
        </w:rPr>
      </w:pPr>
    </w:p>
    <w:p w:rsidR="00DE0A23" w:rsidRDefault="00C24C2E" w:rsidP="00DE0A23"/>
    <w:p w:rsidR="00DE0A23" w:rsidRDefault="00C24C2E" w:rsidP="00DE0A23"/>
    <w:p w:rsidR="00DE0A23"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w:t>
      </w:r>
      <w:r w:rsidRPr="003606C9">
        <w:rPr>
          <w:rFonts w:ascii="Verdana" w:hAnsi="Verdana"/>
          <w:snapToGrid w:val="0"/>
          <w:color w:val="0C1B27" w:themeColor="text1" w:themeShade="80"/>
          <w:sz w:val="20"/>
          <w:szCs w:val="20"/>
        </w:rPr>
        <w:t xml:space="preserve">he GEF </w:t>
      </w:r>
      <w:r>
        <w:rPr>
          <w:rFonts w:ascii="Verdana" w:hAnsi="Verdana"/>
          <w:snapToGrid w:val="0"/>
          <w:color w:val="0C1B27" w:themeColor="text1" w:themeShade="80"/>
          <w:sz w:val="20"/>
          <w:szCs w:val="20"/>
        </w:rPr>
        <w:t xml:space="preserve">is shown to be </w:t>
      </w:r>
      <w:r w:rsidRPr="003606C9">
        <w:rPr>
          <w:rFonts w:ascii="Verdana" w:hAnsi="Verdana"/>
          <w:snapToGrid w:val="0"/>
          <w:color w:val="0C1B27" w:themeColor="text1" w:themeShade="80"/>
          <w:sz w:val="20"/>
          <w:szCs w:val="20"/>
        </w:rPr>
        <w:t>positive</w:t>
      </w:r>
      <w:r>
        <w:rPr>
          <w:rFonts w:ascii="Verdana" w:hAnsi="Verdana"/>
          <w:snapToGrid w:val="0"/>
          <w:color w:val="0C1B27" w:themeColor="text1" w:themeShade="80"/>
          <w:sz w:val="20"/>
          <w:szCs w:val="20"/>
        </w:rPr>
        <w:t>ly</w:t>
      </w:r>
      <w:r w:rsidRPr="003606C9">
        <w:rPr>
          <w:rFonts w:ascii="Verdana" w:hAnsi="Verdana"/>
          <w:snapToGrid w:val="0"/>
          <w:color w:val="0C1B27" w:themeColor="text1" w:themeShade="80"/>
          <w:sz w:val="20"/>
          <w:szCs w:val="20"/>
        </w:rPr>
        <w:t xml:space="preserve"> align</w:t>
      </w:r>
      <w:r>
        <w:rPr>
          <w:rFonts w:ascii="Verdana" w:hAnsi="Verdana"/>
          <w:snapToGrid w:val="0"/>
          <w:color w:val="0C1B27" w:themeColor="text1" w:themeShade="80"/>
          <w:sz w:val="20"/>
          <w:szCs w:val="20"/>
        </w:rPr>
        <w:t>ed with (have a lower emissions intensity</w:t>
      </w:r>
      <w:r w:rsidRPr="00C810C0">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than)</w:t>
      </w:r>
      <w:r w:rsidRPr="003606C9">
        <w:rPr>
          <w:rFonts w:ascii="Verdana" w:hAnsi="Verdana"/>
          <w:snapToGrid w:val="0"/>
          <w:color w:val="0C1B27" w:themeColor="text1" w:themeShade="80"/>
          <w:sz w:val="20"/>
          <w:szCs w:val="20"/>
        </w:rPr>
        <w:t xml:space="preserve"> </w:t>
      </w:r>
      <w:r>
        <w:rPr>
          <w:rFonts w:ascii="Verdana" w:hAnsi="Verdana"/>
          <w:snapToGrid w:val="0"/>
          <w:color w:val="0C1B27" w:themeColor="text1" w:themeShade="80"/>
          <w:sz w:val="20"/>
          <w:szCs w:val="20"/>
        </w:rPr>
        <w:t xml:space="preserve">the </w:t>
      </w:r>
      <w:r w:rsidRPr="003606C9">
        <w:rPr>
          <w:rFonts w:ascii="Verdana" w:hAnsi="Verdana"/>
          <w:snapToGrid w:val="0"/>
          <w:color w:val="0C1B27" w:themeColor="text1" w:themeShade="80"/>
          <w:sz w:val="20"/>
          <w:szCs w:val="20"/>
        </w:rPr>
        <w:t xml:space="preserve">pathways for </w:t>
      </w:r>
      <w:bookmarkStart w:id="2" w:name="_Hlk770653"/>
      <w:r>
        <w:rPr>
          <w:rFonts w:ascii="Verdana" w:hAnsi="Verdana"/>
          <w:snapToGrid w:val="0"/>
          <w:color w:val="0C1B27" w:themeColor="text1" w:themeShade="80"/>
          <w:sz w:val="20"/>
          <w:szCs w:val="20"/>
        </w:rPr>
        <w:t xml:space="preserve">achieving </w:t>
      </w:r>
      <w:r w:rsidRPr="003606C9">
        <w:rPr>
          <w:rFonts w:ascii="Verdana" w:hAnsi="Verdana"/>
          <w:snapToGrid w:val="0"/>
          <w:color w:val="0C1B27" w:themeColor="text1" w:themeShade="80"/>
          <w:sz w:val="20"/>
          <w:szCs w:val="20"/>
        </w:rPr>
        <w:t xml:space="preserve">both 2°c </w:t>
      </w:r>
      <w:bookmarkEnd w:id="2"/>
      <w:r w:rsidRPr="003606C9">
        <w:rPr>
          <w:rFonts w:ascii="Verdana" w:hAnsi="Verdana"/>
          <w:snapToGrid w:val="0"/>
          <w:color w:val="0C1B27" w:themeColor="text1" w:themeShade="80"/>
          <w:sz w:val="20"/>
          <w:szCs w:val="20"/>
        </w:rPr>
        <w:t xml:space="preserve">and 1.75°c </w:t>
      </w:r>
      <w:r>
        <w:rPr>
          <w:rFonts w:ascii="Verdana" w:hAnsi="Verdana"/>
          <w:snapToGrid w:val="0"/>
          <w:color w:val="0C1B27" w:themeColor="text1" w:themeShade="80"/>
          <w:sz w:val="20"/>
          <w:szCs w:val="20"/>
        </w:rPr>
        <w:t xml:space="preserve">targets (based on holdings at 31 December 2018). </w:t>
      </w:r>
    </w:p>
    <w:p w:rsidR="00C810C0"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lastRenderedPageBreak/>
        <w:t xml:space="preserve">There is a notable gap between the emissions of the GEF and of </w:t>
      </w:r>
      <w:r w:rsidRPr="003606C9">
        <w:rPr>
          <w:rFonts w:ascii="Verdana" w:hAnsi="Verdana"/>
          <w:snapToGrid w:val="0"/>
          <w:color w:val="0C1B27" w:themeColor="text1" w:themeShade="80"/>
          <w:sz w:val="20"/>
          <w:szCs w:val="20"/>
        </w:rPr>
        <w:t>the benchmark (MSCI All Countries World Index)</w:t>
      </w:r>
      <w:r>
        <w:rPr>
          <w:rFonts w:ascii="Verdana" w:hAnsi="Verdana"/>
          <w:snapToGrid w:val="0"/>
          <w:color w:val="0C1B27" w:themeColor="text1" w:themeShade="80"/>
          <w:sz w:val="20"/>
          <w:szCs w:val="20"/>
        </w:rPr>
        <w:t xml:space="preserve"> at the snapshot date which speaks to the higher emissions profile associated with investing passively in line with MSCI ACWI. The GEF has significantly lower emissions as a result of </w:t>
      </w:r>
      <w:r w:rsidRPr="003606C9">
        <w:rPr>
          <w:rFonts w:ascii="Verdana" w:hAnsi="Verdana"/>
          <w:snapToGrid w:val="0"/>
          <w:color w:val="0C1B27" w:themeColor="text1" w:themeShade="80"/>
          <w:sz w:val="20"/>
          <w:szCs w:val="20"/>
        </w:rPr>
        <w:t>investment decisions</w:t>
      </w:r>
      <w:r>
        <w:rPr>
          <w:rFonts w:ascii="Verdana" w:hAnsi="Verdana"/>
          <w:snapToGrid w:val="0"/>
          <w:color w:val="0C1B27" w:themeColor="text1" w:themeShade="80"/>
          <w:sz w:val="20"/>
          <w:szCs w:val="20"/>
        </w:rPr>
        <w:t xml:space="preserve"> </w:t>
      </w:r>
      <w:r w:rsidRPr="003606C9">
        <w:rPr>
          <w:rFonts w:ascii="Verdana" w:hAnsi="Verdana"/>
          <w:snapToGrid w:val="0"/>
          <w:color w:val="0C1B27" w:themeColor="text1" w:themeShade="80"/>
          <w:sz w:val="20"/>
          <w:szCs w:val="20"/>
        </w:rPr>
        <w:t xml:space="preserve">by </w:t>
      </w:r>
      <w:r>
        <w:rPr>
          <w:rFonts w:ascii="Verdana" w:hAnsi="Verdana"/>
          <w:snapToGrid w:val="0"/>
          <w:color w:val="0C1B27" w:themeColor="text1" w:themeShade="80"/>
          <w:sz w:val="20"/>
          <w:szCs w:val="20"/>
        </w:rPr>
        <w:t xml:space="preserve">active </w:t>
      </w:r>
      <w:r w:rsidRPr="003606C9">
        <w:rPr>
          <w:rFonts w:ascii="Verdana" w:hAnsi="Verdana"/>
          <w:snapToGrid w:val="0"/>
          <w:color w:val="0C1B27" w:themeColor="text1" w:themeShade="80"/>
          <w:sz w:val="20"/>
          <w:szCs w:val="20"/>
        </w:rPr>
        <w:t xml:space="preserve">portfolio managers </w:t>
      </w:r>
      <w:r>
        <w:rPr>
          <w:rFonts w:ascii="Verdana" w:hAnsi="Verdana"/>
          <w:snapToGrid w:val="0"/>
          <w:color w:val="0C1B27" w:themeColor="text1" w:themeShade="80"/>
          <w:sz w:val="20"/>
          <w:szCs w:val="20"/>
        </w:rPr>
        <w:t xml:space="preserve">who are incorporating material Environmental, Social and Governance considerations (including climate change) into their </w:t>
      </w:r>
      <w:r w:rsidRPr="003606C9">
        <w:rPr>
          <w:rFonts w:ascii="Verdana" w:hAnsi="Verdana"/>
          <w:snapToGrid w:val="0"/>
          <w:color w:val="0C1B27" w:themeColor="text1" w:themeShade="80"/>
          <w:sz w:val="20"/>
          <w:szCs w:val="20"/>
        </w:rPr>
        <w:t>evaluation of risk adjusted returns</w:t>
      </w:r>
      <w:r>
        <w:rPr>
          <w:rFonts w:ascii="Verdana" w:hAnsi="Verdana"/>
          <w:snapToGrid w:val="0"/>
          <w:color w:val="0C1B27" w:themeColor="text1" w:themeShade="80"/>
          <w:sz w:val="20"/>
          <w:szCs w:val="20"/>
        </w:rPr>
        <w:t xml:space="preserve">. </w:t>
      </w:r>
    </w:p>
    <w:p w:rsidR="00DE0A23" w:rsidRDefault="00C24C2E" w:rsidP="00026080">
      <w:pPr>
        <w:spacing w:after="0"/>
        <w:rPr>
          <w:rFonts w:ascii="Verdana" w:hAnsi="Verdana"/>
          <w:snapToGrid w:val="0"/>
          <w:color w:val="0C1B27" w:themeColor="text1" w:themeShade="80"/>
          <w:sz w:val="20"/>
          <w:szCs w:val="20"/>
        </w:rPr>
      </w:pPr>
    </w:p>
    <w:p w:rsidR="00DE0A23"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LPP will continue to work with Engaged Tracking to better understand the GEF’s emissions profile and to identify the sectors and companies which are making the largest contributions to total emissions.</w:t>
      </w:r>
    </w:p>
    <w:p w:rsidR="00026080" w:rsidRDefault="00C24C2E" w:rsidP="00635E0B">
      <w:pPr>
        <w:spacing w:after="0"/>
        <w:jc w:val="both"/>
        <w:rPr>
          <w:rFonts w:ascii="Verdana" w:hAnsi="Verdana" w:cs="Arial"/>
          <w:bCs/>
          <w:color w:val="183850" w:themeColor="text1"/>
          <w:sz w:val="20"/>
          <w:szCs w:val="20"/>
        </w:rPr>
      </w:pPr>
    </w:p>
    <w:p w:rsidR="00026080" w:rsidRDefault="00A73C70" w:rsidP="00026080">
      <w:pPr>
        <w:rPr>
          <w:rFonts w:ascii="Verdana" w:hAnsi="Verdana" w:cs="Arial"/>
          <w:b/>
          <w:bCs/>
          <w:color w:val="183850" w:themeColor="text1"/>
          <w:sz w:val="20"/>
          <w:szCs w:val="20"/>
        </w:rPr>
      </w:pPr>
      <w:r w:rsidRPr="00026080">
        <w:rPr>
          <w:rFonts w:ascii="Verdana" w:hAnsi="Verdana" w:cs="Arial"/>
          <w:b/>
          <w:bCs/>
          <w:color w:val="183850" w:themeColor="text1"/>
          <w:sz w:val="20"/>
          <w:szCs w:val="20"/>
        </w:rPr>
        <w:t>Other Insights</w:t>
      </w:r>
    </w:p>
    <w:p w:rsidR="00026080" w:rsidRPr="00026080" w:rsidRDefault="00A73C70" w:rsidP="00026080">
      <w:pPr>
        <w:pStyle w:val="ListParagraph"/>
        <w:numPr>
          <w:ilvl w:val="0"/>
          <w:numId w:val="6"/>
        </w:numPr>
        <w:spacing w:after="0"/>
        <w:rPr>
          <w:rFonts w:ascii="Verdana" w:hAnsi="Verdana"/>
          <w:snapToGrid w:val="0"/>
          <w:color w:val="0C1B27" w:themeColor="text1" w:themeShade="80"/>
          <w:sz w:val="20"/>
          <w:szCs w:val="20"/>
        </w:rPr>
      </w:pPr>
      <w:r w:rsidRPr="00026080">
        <w:rPr>
          <w:rFonts w:ascii="Verdana" w:hAnsi="Verdana"/>
          <w:snapToGrid w:val="0"/>
          <w:color w:val="0C1B27" w:themeColor="text1" w:themeShade="80"/>
          <w:sz w:val="20"/>
          <w:szCs w:val="20"/>
        </w:rPr>
        <w:t>FCA Discussion Paper on Climate Change and Green Finance</w:t>
      </w:r>
    </w:p>
    <w:p w:rsidR="00026080"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sidRPr="00026080">
        <w:rPr>
          <w:rFonts w:ascii="Verdana" w:hAnsi="Verdana"/>
          <w:snapToGrid w:val="0"/>
          <w:color w:val="0C1B27" w:themeColor="text1" w:themeShade="80"/>
          <w:sz w:val="20"/>
          <w:szCs w:val="20"/>
        </w:rPr>
        <w:t>LPP has recently responded to a discussion paper on Climate Change and Green Finance from the Financial Conduct Authority (FCA) the UK regulator for firms that provide financial products and services. As an asset manager, LP</w:t>
      </w:r>
      <w:r>
        <w:rPr>
          <w:rFonts w:ascii="Verdana" w:hAnsi="Verdana"/>
          <w:snapToGrid w:val="0"/>
          <w:color w:val="0C1B27" w:themeColor="text1" w:themeShade="80"/>
          <w:sz w:val="20"/>
          <w:szCs w:val="20"/>
        </w:rPr>
        <w:t>PI</w:t>
      </w:r>
      <w:r w:rsidRPr="00026080">
        <w:rPr>
          <w:rFonts w:ascii="Verdana" w:hAnsi="Verdana"/>
          <w:snapToGrid w:val="0"/>
          <w:color w:val="0C1B27" w:themeColor="text1" w:themeShade="80"/>
          <w:sz w:val="20"/>
          <w:szCs w:val="20"/>
        </w:rPr>
        <w:t xml:space="preserve"> is authorised and regulated by the FCA. </w:t>
      </w:r>
      <w:r w:rsidRPr="00026080">
        <w:rPr>
          <w:rFonts w:ascii="Verdana" w:hAnsi="Verdana"/>
          <w:snapToGrid w:val="0"/>
          <w:color w:val="0C1B27" w:themeColor="text1" w:themeShade="80"/>
          <w:sz w:val="20"/>
          <w:szCs w:val="20"/>
        </w:rPr>
        <w:br/>
      </w:r>
    </w:p>
    <w:p w:rsidR="00026080" w:rsidRDefault="00A73C70" w:rsidP="00026080">
      <w:pPr>
        <w:spacing w:after="0"/>
        <w:rPr>
          <w:rFonts w:ascii="Verdana" w:hAnsi="Verdana"/>
          <w:snapToGrid w:val="0"/>
          <w:color w:val="0C1B27" w:themeColor="text1" w:themeShade="80"/>
          <w:sz w:val="20"/>
          <w:szCs w:val="20"/>
        </w:rPr>
      </w:pPr>
      <w:r w:rsidRPr="00026080">
        <w:rPr>
          <w:rFonts w:ascii="Verdana" w:hAnsi="Verdana"/>
          <w:snapToGrid w:val="0"/>
          <w:color w:val="0C1B27" w:themeColor="text1" w:themeShade="80"/>
          <w:sz w:val="20"/>
          <w:szCs w:val="20"/>
        </w:rPr>
        <w:t xml:space="preserve">The discussion paper describes proposals for placing additional focus on the risks and opportunities posed by climate change. This reflects the FCA's recognition that climate change and the global transition to a low carbon economy are likely to have a significant impact on financial markets and products and </w:t>
      </w:r>
      <w:r>
        <w:rPr>
          <w:rFonts w:ascii="Verdana" w:hAnsi="Verdana"/>
          <w:snapToGrid w:val="0"/>
          <w:color w:val="0C1B27" w:themeColor="text1" w:themeShade="80"/>
          <w:sz w:val="20"/>
          <w:szCs w:val="20"/>
        </w:rPr>
        <w:t xml:space="preserve">will </w:t>
      </w:r>
      <w:r w:rsidRPr="00026080">
        <w:rPr>
          <w:rFonts w:ascii="Verdana" w:hAnsi="Verdana"/>
          <w:snapToGrid w:val="0"/>
          <w:color w:val="0C1B27" w:themeColor="text1" w:themeShade="80"/>
          <w:sz w:val="20"/>
          <w:szCs w:val="20"/>
        </w:rPr>
        <w:t xml:space="preserve">hold a particular risk for the financial performance of pension funds due to their long investment horizons. </w:t>
      </w:r>
      <w:r w:rsidRPr="00026080">
        <w:rPr>
          <w:rFonts w:ascii="Verdana" w:hAnsi="Verdana"/>
          <w:snapToGrid w:val="0"/>
          <w:color w:val="0C1B27" w:themeColor="text1" w:themeShade="80"/>
          <w:sz w:val="20"/>
          <w:szCs w:val="20"/>
        </w:rPr>
        <w:br/>
      </w:r>
      <w:r w:rsidRPr="00026080">
        <w:rPr>
          <w:rFonts w:ascii="Verdana" w:hAnsi="Verdana"/>
          <w:snapToGrid w:val="0"/>
          <w:color w:val="0C1B27" w:themeColor="text1" w:themeShade="80"/>
          <w:sz w:val="20"/>
          <w:szCs w:val="20"/>
        </w:rPr>
        <w:br/>
        <w:t xml:space="preserve">As a Responsible Investor LPPI is already working to evaluate the investment risks and opportunities climate change poses for client pension funds. Our responses to the twelve questions posed </w:t>
      </w:r>
      <w:r>
        <w:rPr>
          <w:rFonts w:ascii="Verdana" w:hAnsi="Verdana"/>
          <w:snapToGrid w:val="0"/>
          <w:color w:val="0C1B27" w:themeColor="text1" w:themeShade="80"/>
          <w:sz w:val="20"/>
          <w:szCs w:val="20"/>
        </w:rPr>
        <w:t xml:space="preserve">by </w:t>
      </w:r>
      <w:r w:rsidRPr="00026080">
        <w:rPr>
          <w:rFonts w:ascii="Verdana" w:hAnsi="Verdana"/>
          <w:snapToGrid w:val="0"/>
          <w:color w:val="0C1B27" w:themeColor="text1" w:themeShade="80"/>
          <w:sz w:val="20"/>
          <w:szCs w:val="20"/>
        </w:rPr>
        <w:t>the FCA discussion paper reflected the insights we have gained so far and urged the regulator to align any additional future requirements with initiatives already underway within the investment community. For example, we highlighted the Taskforce on Climate-related Financial Disclosure</w:t>
      </w:r>
      <w:r>
        <w:rPr>
          <w:rFonts w:ascii="Verdana" w:hAnsi="Verdana"/>
          <w:snapToGrid w:val="0"/>
          <w:color w:val="0C1B27" w:themeColor="text1" w:themeShade="80"/>
          <w:sz w:val="20"/>
          <w:szCs w:val="20"/>
        </w:rPr>
        <w:t xml:space="preserve"> (TCFD)</w:t>
      </w:r>
      <w:r w:rsidRPr="00026080">
        <w:rPr>
          <w:rFonts w:ascii="Verdana" w:hAnsi="Verdana"/>
          <w:snapToGrid w:val="0"/>
          <w:color w:val="0C1B27" w:themeColor="text1" w:themeShade="80"/>
          <w:sz w:val="20"/>
          <w:szCs w:val="20"/>
        </w:rPr>
        <w:t xml:space="preserve"> which is focused on encouraging better information disclosure from companies on how they are managing the risks and planning for the future impact of climate change on their business. </w:t>
      </w:r>
    </w:p>
    <w:p w:rsidR="00026080"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 xml:space="preserve">LPP’s full response to the FCA discussion paper is available </w:t>
      </w:r>
      <w:hyperlink r:id="rId19" w:history="1">
        <w:r w:rsidRPr="00026080">
          <w:rPr>
            <w:color w:val="0070C0"/>
          </w:rPr>
          <w:t>here</w:t>
        </w:r>
      </w:hyperlink>
      <w:r>
        <w:rPr>
          <w:rFonts w:ascii="Verdana" w:hAnsi="Verdana"/>
          <w:snapToGrid w:val="0"/>
          <w:color w:val="0070C0"/>
          <w:sz w:val="20"/>
          <w:szCs w:val="20"/>
        </w:rPr>
        <w:t>.</w:t>
      </w:r>
      <w:r w:rsidRPr="00026080">
        <w:rPr>
          <w:rFonts w:ascii="Verdana" w:hAnsi="Verdana"/>
          <w:snapToGrid w:val="0"/>
          <w:color w:val="0C1B27" w:themeColor="text1" w:themeShade="80"/>
          <w:sz w:val="20"/>
          <w:szCs w:val="20"/>
        </w:rPr>
        <w:br/>
      </w:r>
    </w:p>
    <w:p w:rsidR="00026080" w:rsidRPr="00026080" w:rsidRDefault="00A73C70" w:rsidP="00026080">
      <w:pPr>
        <w:pStyle w:val="ListParagraph"/>
        <w:numPr>
          <w:ilvl w:val="0"/>
          <w:numId w:val="6"/>
        </w:numPr>
        <w:spacing w:after="0"/>
        <w:rPr>
          <w:rFonts w:ascii="Verdana" w:hAnsi="Verdana"/>
          <w:snapToGrid w:val="0"/>
          <w:color w:val="0C1B27" w:themeColor="text1" w:themeShade="80"/>
          <w:sz w:val="20"/>
          <w:szCs w:val="20"/>
        </w:rPr>
      </w:pPr>
      <w:r w:rsidRPr="00026080">
        <w:rPr>
          <w:rFonts w:ascii="Verdana" w:hAnsi="Verdana"/>
          <w:sz w:val="20"/>
          <w:szCs w:val="20"/>
        </w:rPr>
        <w:t>Consultation: Proposed Revision to the UK Stewardship Code</w:t>
      </w:r>
    </w:p>
    <w:p w:rsidR="00026080"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sidRPr="00026080">
        <w:rPr>
          <w:rFonts w:ascii="Verdana" w:hAnsi="Verdana"/>
          <w:snapToGrid w:val="0"/>
          <w:color w:val="0C1B27" w:themeColor="text1" w:themeShade="80"/>
          <w:sz w:val="20"/>
          <w:szCs w:val="20"/>
        </w:rPr>
        <w:t xml:space="preserve">On 30 January 2019, the Financial Reporting Council </w:t>
      </w:r>
      <w:r>
        <w:rPr>
          <w:rFonts w:ascii="Verdana" w:hAnsi="Verdana"/>
          <w:snapToGrid w:val="0"/>
          <w:color w:val="0C1B27" w:themeColor="text1" w:themeShade="80"/>
          <w:sz w:val="20"/>
          <w:szCs w:val="20"/>
        </w:rPr>
        <w:t>launched</w:t>
      </w:r>
      <w:r w:rsidRPr="00026080">
        <w:rPr>
          <w:rFonts w:ascii="Verdana" w:hAnsi="Verdana"/>
          <w:snapToGrid w:val="0"/>
          <w:color w:val="0C1B27" w:themeColor="text1" w:themeShade="80"/>
          <w:sz w:val="20"/>
          <w:szCs w:val="20"/>
        </w:rPr>
        <w:t xml:space="preserve"> a consultation on </w:t>
      </w:r>
      <w:r>
        <w:rPr>
          <w:rFonts w:ascii="Verdana" w:hAnsi="Verdana"/>
          <w:snapToGrid w:val="0"/>
          <w:color w:val="0C1B27" w:themeColor="text1" w:themeShade="80"/>
          <w:sz w:val="20"/>
          <w:szCs w:val="20"/>
        </w:rPr>
        <w:t xml:space="preserve">an updated </w:t>
      </w:r>
      <w:r w:rsidRPr="00026080">
        <w:rPr>
          <w:rFonts w:ascii="Verdana" w:hAnsi="Verdana"/>
          <w:snapToGrid w:val="0"/>
          <w:color w:val="0C1B27" w:themeColor="text1" w:themeShade="80"/>
          <w:sz w:val="20"/>
          <w:szCs w:val="20"/>
        </w:rPr>
        <w:t>2019 UK Stewardship Code</w:t>
      </w:r>
      <w:r>
        <w:rPr>
          <w:rFonts w:ascii="Verdana" w:hAnsi="Verdana"/>
          <w:snapToGrid w:val="0"/>
          <w:color w:val="0C1B27" w:themeColor="text1" w:themeShade="80"/>
          <w:sz w:val="20"/>
          <w:szCs w:val="20"/>
        </w:rPr>
        <w:t>.</w:t>
      </w:r>
      <w:r w:rsidRPr="00026080">
        <w:rPr>
          <w:rFonts w:ascii="Verdana" w:hAnsi="Verdana"/>
          <w:snapToGrid w:val="0"/>
          <w:color w:val="0C1B27" w:themeColor="text1" w:themeShade="80"/>
          <w:sz w:val="20"/>
          <w:szCs w:val="20"/>
        </w:rPr>
        <w:t> </w:t>
      </w:r>
    </w:p>
    <w:p w:rsidR="00026080" w:rsidRDefault="00C24C2E" w:rsidP="00026080">
      <w:pPr>
        <w:spacing w:after="0"/>
        <w:rPr>
          <w:rFonts w:ascii="Verdana" w:hAnsi="Verdana"/>
          <w:snapToGrid w:val="0"/>
          <w:color w:val="0C1B27" w:themeColor="text1" w:themeShade="80"/>
          <w:sz w:val="20"/>
          <w:szCs w:val="20"/>
        </w:rPr>
      </w:pPr>
    </w:p>
    <w:p w:rsidR="00026080" w:rsidRPr="00E85839" w:rsidRDefault="00A73C70" w:rsidP="00026080">
      <w:pPr>
        <w:spacing w:after="0"/>
        <w:rPr>
          <w:rFonts w:ascii="Verdana" w:hAnsi="Verdana"/>
          <w:i/>
          <w:snapToGrid w:val="0"/>
          <w:color w:val="0C1B27" w:themeColor="text1" w:themeShade="80"/>
          <w:sz w:val="20"/>
          <w:szCs w:val="20"/>
        </w:rPr>
      </w:pPr>
      <w:r w:rsidRPr="00E85839">
        <w:rPr>
          <w:rFonts w:ascii="Verdana" w:hAnsi="Verdana"/>
          <w:i/>
          <w:sz w:val="20"/>
          <w:szCs w:val="20"/>
        </w:rPr>
        <w:t>Effective stewardship is an important part of institutional investors' responsibilities to their clients and the draft 2019 Code is an integral part of the UK's overall corporate governance framework. It significantly raises the standard expected from institutional investors and aims to create a market for stewardship driven by a demand from asset owners and beneficiaries for better quality information about how asset managers and service providers fulfil their responsibilities. Those who become signatories will be making a serious commitment to maintaining and improving the quality and integrity of UK financial markets. The FRC will be devoting more resource to evaluating the quality of disclosure of both policies and activities.</w:t>
      </w:r>
    </w:p>
    <w:p w:rsidR="00026080"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lastRenderedPageBreak/>
        <w:t>LGPS pension funds are required to be signatories to the UK Stewardship Code and to comply with (and disclose on how they comply with) its requirements. The UK Stewardship Code was last updated in 2012 and all new requirements introduced as a result of a revised Code will fall to be addressed by LCPF going forward.</w:t>
      </w:r>
    </w:p>
    <w:p w:rsidR="00026080" w:rsidRDefault="00C24C2E" w:rsidP="00026080">
      <w:pPr>
        <w:spacing w:after="0"/>
        <w:rPr>
          <w:rFonts w:ascii="Verdana" w:hAnsi="Verdana"/>
          <w:snapToGrid w:val="0"/>
          <w:color w:val="0C1B27" w:themeColor="text1" w:themeShade="80"/>
          <w:sz w:val="20"/>
          <w:szCs w:val="20"/>
        </w:rPr>
      </w:pPr>
    </w:p>
    <w:p w:rsidR="00026080" w:rsidRDefault="00A73C70" w:rsidP="00026080">
      <w:pPr>
        <w:spacing w:after="0"/>
        <w:rPr>
          <w:rFonts w:ascii="Verdana" w:hAnsi="Verdana"/>
          <w:snapToGrid w:val="0"/>
          <w:color w:val="0C1B27" w:themeColor="text1" w:themeShade="80"/>
          <w:sz w:val="20"/>
          <w:szCs w:val="20"/>
        </w:rPr>
      </w:pPr>
      <w:r>
        <w:rPr>
          <w:rFonts w:ascii="Verdana" w:hAnsi="Verdana"/>
          <w:snapToGrid w:val="0"/>
          <w:color w:val="0C1B27" w:themeColor="text1" w:themeShade="80"/>
          <w:sz w:val="20"/>
          <w:szCs w:val="20"/>
        </w:rPr>
        <w:t>The FRC’s consultation is open until 29 March 2019. It is intended that a 2019 Stewardship Code will be published on 16</w:t>
      </w:r>
      <w:r w:rsidRPr="00026080">
        <w:rPr>
          <w:rFonts w:ascii="Verdana" w:hAnsi="Verdana"/>
          <w:snapToGrid w:val="0"/>
          <w:color w:val="0C1B27" w:themeColor="text1" w:themeShade="80"/>
          <w:sz w:val="20"/>
          <w:szCs w:val="20"/>
          <w:vertAlign w:val="superscript"/>
        </w:rPr>
        <w:t>th</w:t>
      </w:r>
      <w:r>
        <w:rPr>
          <w:rFonts w:ascii="Verdana" w:hAnsi="Verdana"/>
          <w:snapToGrid w:val="0"/>
          <w:color w:val="0C1B27" w:themeColor="text1" w:themeShade="80"/>
          <w:sz w:val="20"/>
          <w:szCs w:val="20"/>
        </w:rPr>
        <w:t xml:space="preserve"> July 2019 and that its requirements will come into effect from that point.</w:t>
      </w:r>
    </w:p>
    <w:p w:rsidR="00026080" w:rsidRDefault="00C24C2E" w:rsidP="00026080">
      <w:pPr>
        <w:spacing w:after="0"/>
        <w:rPr>
          <w:rFonts w:ascii="Verdana" w:hAnsi="Verdana"/>
          <w:snapToGrid w:val="0"/>
          <w:color w:val="0C1B27" w:themeColor="text1" w:themeShade="80"/>
          <w:sz w:val="20"/>
          <w:szCs w:val="20"/>
        </w:rPr>
      </w:pPr>
    </w:p>
    <w:p w:rsidR="00026080" w:rsidRPr="00026080" w:rsidRDefault="00A73C70" w:rsidP="00026080">
      <w:pPr>
        <w:spacing w:after="0"/>
        <w:rPr>
          <w:color w:val="0070C0"/>
        </w:rPr>
      </w:pPr>
      <w:r>
        <w:rPr>
          <w:rFonts w:ascii="Verdana" w:hAnsi="Verdana"/>
          <w:snapToGrid w:val="0"/>
          <w:color w:val="0C1B27" w:themeColor="text1" w:themeShade="80"/>
          <w:sz w:val="20"/>
          <w:szCs w:val="20"/>
        </w:rPr>
        <w:t xml:space="preserve">Full details of the consultation and the proposed revised code are available </w:t>
      </w:r>
      <w:hyperlink r:id="rId20" w:history="1">
        <w:r w:rsidRPr="00E85839">
          <w:rPr>
            <w:rFonts w:ascii="Verdana" w:hAnsi="Verdana"/>
            <w:b/>
            <w:color w:val="0070C0"/>
            <w:sz w:val="20"/>
            <w:szCs w:val="20"/>
            <w:u w:val="single"/>
          </w:rPr>
          <w:t>here</w:t>
        </w:r>
      </w:hyperlink>
      <w:r w:rsidRPr="00E85839">
        <w:rPr>
          <w:rFonts w:ascii="Verdana" w:hAnsi="Verdana"/>
          <w:b/>
          <w:color w:val="0070C0"/>
          <w:sz w:val="20"/>
          <w:szCs w:val="20"/>
          <w:u w:val="single"/>
        </w:rPr>
        <w:t>.</w:t>
      </w:r>
    </w:p>
    <w:sectPr w:rsidR="00026080" w:rsidRPr="00026080" w:rsidSect="003606C9">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A1" w:rsidRDefault="00A73C70">
      <w:pPr>
        <w:spacing w:after="0" w:line="240" w:lineRule="auto"/>
      </w:pPr>
      <w:r>
        <w:separator/>
      </w:r>
    </w:p>
  </w:endnote>
  <w:endnote w:type="continuationSeparator" w:id="0">
    <w:p w:rsidR="00914BA1" w:rsidRDefault="00A7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BentonSans Book">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TT3BA2o00">
    <w:panose1 w:val="00000000000000000000"/>
    <w:charset w:val="00"/>
    <w:family w:val="auto"/>
    <w:notTrueType/>
    <w:pitch w:val="default"/>
    <w:sig w:usb0="00000003" w:usb1="00000000" w:usb2="00000000" w:usb3="00000000" w:csb0="00000001" w:csb1="00000000"/>
  </w:font>
  <w:font w:name="TT3B97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39" w:rsidRDefault="00C24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C33" w:rsidRDefault="00C24C2E">
    <w:pPr>
      <w:pStyle w:val="Footer"/>
    </w:pPr>
  </w:p>
  <w:p w:rsidR="00B35C33" w:rsidRDefault="00C24C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39" w:rsidRDefault="00C2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A1" w:rsidRDefault="00A73C70">
      <w:pPr>
        <w:spacing w:after="0" w:line="240" w:lineRule="auto"/>
      </w:pPr>
      <w:r>
        <w:separator/>
      </w:r>
    </w:p>
  </w:footnote>
  <w:footnote w:type="continuationSeparator" w:id="0">
    <w:p w:rsidR="00914BA1" w:rsidRDefault="00A7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39" w:rsidRDefault="00C24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39" w:rsidRDefault="00C24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39" w:rsidRDefault="00C24C2E">
    <w:pPr>
      <w:pStyle w:val="Header"/>
      <w:rPr>
        <w:noProof/>
        <w:lang w:eastAsia="en-GB"/>
      </w:rPr>
    </w:pPr>
  </w:p>
  <w:p w:rsidR="00E85839" w:rsidRDefault="00C24C2E">
    <w:pPr>
      <w:pStyle w:val="Header"/>
      <w:rPr>
        <w:noProof/>
        <w:lang w:eastAsia="en-GB"/>
      </w:rPr>
    </w:pPr>
  </w:p>
  <w:p w:rsidR="00B35C33" w:rsidRDefault="00A73C70">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35" name="Picture 35"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96324" name="Picture 1" descr="C:\Users\sarah.vanson\AppData\Local\Microsoft\Windows\Temporary Internet Files\Content.Word\LPP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C33" w:rsidRDefault="00C24C2E">
    <w:pPr>
      <w:pStyle w:val="Header"/>
    </w:pPr>
  </w:p>
  <w:p w:rsidR="00E85839" w:rsidRDefault="00C24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380"/>
    <w:multiLevelType w:val="hybridMultilevel"/>
    <w:tmpl w:val="394C9F20"/>
    <w:lvl w:ilvl="0" w:tplc="276472A0">
      <w:start w:val="1"/>
      <w:numFmt w:val="bullet"/>
      <w:lvlText w:val=""/>
      <w:lvlJc w:val="left"/>
      <w:pPr>
        <w:ind w:left="720" w:hanging="360"/>
      </w:pPr>
      <w:rPr>
        <w:rFonts w:ascii="Symbol" w:hAnsi="Symbol" w:hint="default"/>
      </w:rPr>
    </w:lvl>
    <w:lvl w:ilvl="1" w:tplc="FDBE0B1C" w:tentative="1">
      <w:start w:val="1"/>
      <w:numFmt w:val="bullet"/>
      <w:lvlText w:val="o"/>
      <w:lvlJc w:val="left"/>
      <w:pPr>
        <w:ind w:left="1440" w:hanging="360"/>
      </w:pPr>
      <w:rPr>
        <w:rFonts w:ascii="Courier New" w:hAnsi="Courier New" w:cs="Courier New" w:hint="default"/>
      </w:rPr>
    </w:lvl>
    <w:lvl w:ilvl="2" w:tplc="9AE48CB0" w:tentative="1">
      <w:start w:val="1"/>
      <w:numFmt w:val="bullet"/>
      <w:lvlText w:val=""/>
      <w:lvlJc w:val="left"/>
      <w:pPr>
        <w:ind w:left="2160" w:hanging="360"/>
      </w:pPr>
      <w:rPr>
        <w:rFonts w:ascii="Wingdings" w:hAnsi="Wingdings" w:hint="default"/>
      </w:rPr>
    </w:lvl>
    <w:lvl w:ilvl="3" w:tplc="A4DC0042" w:tentative="1">
      <w:start w:val="1"/>
      <w:numFmt w:val="bullet"/>
      <w:lvlText w:val=""/>
      <w:lvlJc w:val="left"/>
      <w:pPr>
        <w:ind w:left="2880" w:hanging="360"/>
      </w:pPr>
      <w:rPr>
        <w:rFonts w:ascii="Symbol" w:hAnsi="Symbol" w:hint="default"/>
      </w:rPr>
    </w:lvl>
    <w:lvl w:ilvl="4" w:tplc="35F20E0A" w:tentative="1">
      <w:start w:val="1"/>
      <w:numFmt w:val="bullet"/>
      <w:lvlText w:val="o"/>
      <w:lvlJc w:val="left"/>
      <w:pPr>
        <w:ind w:left="3600" w:hanging="360"/>
      </w:pPr>
      <w:rPr>
        <w:rFonts w:ascii="Courier New" w:hAnsi="Courier New" w:cs="Courier New" w:hint="default"/>
      </w:rPr>
    </w:lvl>
    <w:lvl w:ilvl="5" w:tplc="FB48A7DE" w:tentative="1">
      <w:start w:val="1"/>
      <w:numFmt w:val="bullet"/>
      <w:lvlText w:val=""/>
      <w:lvlJc w:val="left"/>
      <w:pPr>
        <w:ind w:left="4320" w:hanging="360"/>
      </w:pPr>
      <w:rPr>
        <w:rFonts w:ascii="Wingdings" w:hAnsi="Wingdings" w:hint="default"/>
      </w:rPr>
    </w:lvl>
    <w:lvl w:ilvl="6" w:tplc="5EAED262" w:tentative="1">
      <w:start w:val="1"/>
      <w:numFmt w:val="bullet"/>
      <w:lvlText w:val=""/>
      <w:lvlJc w:val="left"/>
      <w:pPr>
        <w:ind w:left="5040" w:hanging="360"/>
      </w:pPr>
      <w:rPr>
        <w:rFonts w:ascii="Symbol" w:hAnsi="Symbol" w:hint="default"/>
      </w:rPr>
    </w:lvl>
    <w:lvl w:ilvl="7" w:tplc="80BC345C" w:tentative="1">
      <w:start w:val="1"/>
      <w:numFmt w:val="bullet"/>
      <w:lvlText w:val="o"/>
      <w:lvlJc w:val="left"/>
      <w:pPr>
        <w:ind w:left="5760" w:hanging="360"/>
      </w:pPr>
      <w:rPr>
        <w:rFonts w:ascii="Courier New" w:hAnsi="Courier New" w:cs="Courier New" w:hint="default"/>
      </w:rPr>
    </w:lvl>
    <w:lvl w:ilvl="8" w:tplc="098CACDA" w:tentative="1">
      <w:start w:val="1"/>
      <w:numFmt w:val="bullet"/>
      <w:lvlText w:val=""/>
      <w:lvlJc w:val="left"/>
      <w:pPr>
        <w:ind w:left="6480" w:hanging="360"/>
      </w:pPr>
      <w:rPr>
        <w:rFonts w:ascii="Wingdings" w:hAnsi="Wingdings" w:hint="default"/>
      </w:rPr>
    </w:lvl>
  </w:abstractNum>
  <w:abstractNum w:abstractNumId="1" w15:restartNumberingAfterBreak="0">
    <w:nsid w:val="1A444BBF"/>
    <w:multiLevelType w:val="hybridMultilevel"/>
    <w:tmpl w:val="6A84AB34"/>
    <w:lvl w:ilvl="0" w:tplc="F35CD330">
      <w:start w:val="1"/>
      <w:numFmt w:val="decimal"/>
      <w:pStyle w:val="treb"/>
      <w:lvlText w:val="%1."/>
      <w:lvlJc w:val="left"/>
      <w:pPr>
        <w:ind w:left="720" w:hanging="360"/>
      </w:pPr>
      <w:rPr>
        <w:rFonts w:hint="default"/>
      </w:rPr>
    </w:lvl>
    <w:lvl w:ilvl="1" w:tplc="6B5C034E" w:tentative="1">
      <w:start w:val="1"/>
      <w:numFmt w:val="lowerLetter"/>
      <w:lvlText w:val="%2."/>
      <w:lvlJc w:val="left"/>
      <w:pPr>
        <w:ind w:left="1440" w:hanging="360"/>
      </w:pPr>
    </w:lvl>
    <w:lvl w:ilvl="2" w:tplc="0F78E59C" w:tentative="1">
      <w:start w:val="1"/>
      <w:numFmt w:val="lowerRoman"/>
      <w:lvlText w:val="%3."/>
      <w:lvlJc w:val="right"/>
      <w:pPr>
        <w:ind w:left="2160" w:hanging="180"/>
      </w:pPr>
    </w:lvl>
    <w:lvl w:ilvl="3" w:tplc="2BEA0B50" w:tentative="1">
      <w:start w:val="1"/>
      <w:numFmt w:val="decimal"/>
      <w:lvlText w:val="%4."/>
      <w:lvlJc w:val="left"/>
      <w:pPr>
        <w:ind w:left="2880" w:hanging="360"/>
      </w:pPr>
    </w:lvl>
    <w:lvl w:ilvl="4" w:tplc="6E120ACA" w:tentative="1">
      <w:start w:val="1"/>
      <w:numFmt w:val="lowerLetter"/>
      <w:lvlText w:val="%5."/>
      <w:lvlJc w:val="left"/>
      <w:pPr>
        <w:ind w:left="3600" w:hanging="360"/>
      </w:pPr>
    </w:lvl>
    <w:lvl w:ilvl="5" w:tplc="5BD2FF70" w:tentative="1">
      <w:start w:val="1"/>
      <w:numFmt w:val="lowerRoman"/>
      <w:lvlText w:val="%6."/>
      <w:lvlJc w:val="right"/>
      <w:pPr>
        <w:ind w:left="4320" w:hanging="180"/>
      </w:pPr>
    </w:lvl>
    <w:lvl w:ilvl="6" w:tplc="046632D8" w:tentative="1">
      <w:start w:val="1"/>
      <w:numFmt w:val="decimal"/>
      <w:lvlText w:val="%7."/>
      <w:lvlJc w:val="left"/>
      <w:pPr>
        <w:ind w:left="5040" w:hanging="360"/>
      </w:pPr>
    </w:lvl>
    <w:lvl w:ilvl="7" w:tplc="D5082D42" w:tentative="1">
      <w:start w:val="1"/>
      <w:numFmt w:val="lowerLetter"/>
      <w:lvlText w:val="%8."/>
      <w:lvlJc w:val="left"/>
      <w:pPr>
        <w:ind w:left="5760" w:hanging="360"/>
      </w:pPr>
    </w:lvl>
    <w:lvl w:ilvl="8" w:tplc="8E943922" w:tentative="1">
      <w:start w:val="1"/>
      <w:numFmt w:val="lowerRoman"/>
      <w:lvlText w:val="%9."/>
      <w:lvlJc w:val="right"/>
      <w:pPr>
        <w:ind w:left="6480" w:hanging="180"/>
      </w:pPr>
    </w:lvl>
  </w:abstractNum>
  <w:abstractNum w:abstractNumId="2" w15:restartNumberingAfterBreak="0">
    <w:nsid w:val="1E4D2CDD"/>
    <w:multiLevelType w:val="hybridMultilevel"/>
    <w:tmpl w:val="CA1AD732"/>
    <w:lvl w:ilvl="0" w:tplc="A7DC23CE">
      <w:start w:val="1"/>
      <w:numFmt w:val="bullet"/>
      <w:lvlText w:val=""/>
      <w:lvlJc w:val="left"/>
      <w:pPr>
        <w:ind w:left="720" w:hanging="360"/>
      </w:pPr>
      <w:rPr>
        <w:rFonts w:ascii="Symbol" w:hAnsi="Symbol" w:hint="default"/>
      </w:rPr>
    </w:lvl>
    <w:lvl w:ilvl="1" w:tplc="098A32D0" w:tentative="1">
      <w:start w:val="1"/>
      <w:numFmt w:val="bullet"/>
      <w:lvlText w:val="o"/>
      <w:lvlJc w:val="left"/>
      <w:pPr>
        <w:ind w:left="1440" w:hanging="360"/>
      </w:pPr>
      <w:rPr>
        <w:rFonts w:ascii="Courier New" w:hAnsi="Courier New" w:cs="Courier New" w:hint="default"/>
      </w:rPr>
    </w:lvl>
    <w:lvl w:ilvl="2" w:tplc="E5BE4ADA" w:tentative="1">
      <w:start w:val="1"/>
      <w:numFmt w:val="bullet"/>
      <w:lvlText w:val=""/>
      <w:lvlJc w:val="left"/>
      <w:pPr>
        <w:ind w:left="2160" w:hanging="360"/>
      </w:pPr>
      <w:rPr>
        <w:rFonts w:ascii="Wingdings" w:hAnsi="Wingdings" w:hint="default"/>
      </w:rPr>
    </w:lvl>
    <w:lvl w:ilvl="3" w:tplc="E892D82E" w:tentative="1">
      <w:start w:val="1"/>
      <w:numFmt w:val="bullet"/>
      <w:lvlText w:val=""/>
      <w:lvlJc w:val="left"/>
      <w:pPr>
        <w:ind w:left="2880" w:hanging="360"/>
      </w:pPr>
      <w:rPr>
        <w:rFonts w:ascii="Symbol" w:hAnsi="Symbol" w:hint="default"/>
      </w:rPr>
    </w:lvl>
    <w:lvl w:ilvl="4" w:tplc="12A4A1BA" w:tentative="1">
      <w:start w:val="1"/>
      <w:numFmt w:val="bullet"/>
      <w:lvlText w:val="o"/>
      <w:lvlJc w:val="left"/>
      <w:pPr>
        <w:ind w:left="3600" w:hanging="360"/>
      </w:pPr>
      <w:rPr>
        <w:rFonts w:ascii="Courier New" w:hAnsi="Courier New" w:cs="Courier New" w:hint="default"/>
      </w:rPr>
    </w:lvl>
    <w:lvl w:ilvl="5" w:tplc="E8BE68EC" w:tentative="1">
      <w:start w:val="1"/>
      <w:numFmt w:val="bullet"/>
      <w:lvlText w:val=""/>
      <w:lvlJc w:val="left"/>
      <w:pPr>
        <w:ind w:left="4320" w:hanging="360"/>
      </w:pPr>
      <w:rPr>
        <w:rFonts w:ascii="Wingdings" w:hAnsi="Wingdings" w:hint="default"/>
      </w:rPr>
    </w:lvl>
    <w:lvl w:ilvl="6" w:tplc="9FEA7BF0" w:tentative="1">
      <w:start w:val="1"/>
      <w:numFmt w:val="bullet"/>
      <w:lvlText w:val=""/>
      <w:lvlJc w:val="left"/>
      <w:pPr>
        <w:ind w:left="5040" w:hanging="360"/>
      </w:pPr>
      <w:rPr>
        <w:rFonts w:ascii="Symbol" w:hAnsi="Symbol" w:hint="default"/>
      </w:rPr>
    </w:lvl>
    <w:lvl w:ilvl="7" w:tplc="4DC0294E" w:tentative="1">
      <w:start w:val="1"/>
      <w:numFmt w:val="bullet"/>
      <w:lvlText w:val="o"/>
      <w:lvlJc w:val="left"/>
      <w:pPr>
        <w:ind w:left="5760" w:hanging="360"/>
      </w:pPr>
      <w:rPr>
        <w:rFonts w:ascii="Courier New" w:hAnsi="Courier New" w:cs="Courier New" w:hint="default"/>
      </w:rPr>
    </w:lvl>
    <w:lvl w:ilvl="8" w:tplc="E2AA5A4A" w:tentative="1">
      <w:start w:val="1"/>
      <w:numFmt w:val="bullet"/>
      <w:lvlText w:val=""/>
      <w:lvlJc w:val="left"/>
      <w:pPr>
        <w:ind w:left="6480" w:hanging="360"/>
      </w:pPr>
      <w:rPr>
        <w:rFonts w:ascii="Wingdings" w:hAnsi="Wingdings" w:hint="default"/>
      </w:rPr>
    </w:lvl>
  </w:abstractNum>
  <w:abstractNum w:abstractNumId="3" w15:restartNumberingAfterBreak="0">
    <w:nsid w:val="75DD0325"/>
    <w:multiLevelType w:val="hybridMultilevel"/>
    <w:tmpl w:val="8FC64BE0"/>
    <w:lvl w:ilvl="0" w:tplc="D4EE5098">
      <w:start w:val="1"/>
      <w:numFmt w:val="decimal"/>
      <w:lvlText w:val="%1."/>
      <w:lvlJc w:val="left"/>
      <w:pPr>
        <w:ind w:left="720" w:hanging="360"/>
      </w:pPr>
    </w:lvl>
    <w:lvl w:ilvl="1" w:tplc="2CA03D22" w:tentative="1">
      <w:start w:val="1"/>
      <w:numFmt w:val="lowerLetter"/>
      <w:lvlText w:val="%2."/>
      <w:lvlJc w:val="left"/>
      <w:pPr>
        <w:ind w:left="1440" w:hanging="360"/>
      </w:pPr>
    </w:lvl>
    <w:lvl w:ilvl="2" w:tplc="AACAB2CA" w:tentative="1">
      <w:start w:val="1"/>
      <w:numFmt w:val="lowerRoman"/>
      <w:lvlText w:val="%3."/>
      <w:lvlJc w:val="right"/>
      <w:pPr>
        <w:ind w:left="2160" w:hanging="180"/>
      </w:pPr>
    </w:lvl>
    <w:lvl w:ilvl="3" w:tplc="5BDC5F28" w:tentative="1">
      <w:start w:val="1"/>
      <w:numFmt w:val="decimal"/>
      <w:lvlText w:val="%4."/>
      <w:lvlJc w:val="left"/>
      <w:pPr>
        <w:ind w:left="2880" w:hanging="360"/>
      </w:pPr>
    </w:lvl>
    <w:lvl w:ilvl="4" w:tplc="FE049E2E" w:tentative="1">
      <w:start w:val="1"/>
      <w:numFmt w:val="lowerLetter"/>
      <w:lvlText w:val="%5."/>
      <w:lvlJc w:val="left"/>
      <w:pPr>
        <w:ind w:left="3600" w:hanging="360"/>
      </w:pPr>
    </w:lvl>
    <w:lvl w:ilvl="5" w:tplc="BDFE5B32" w:tentative="1">
      <w:start w:val="1"/>
      <w:numFmt w:val="lowerRoman"/>
      <w:lvlText w:val="%6."/>
      <w:lvlJc w:val="right"/>
      <w:pPr>
        <w:ind w:left="4320" w:hanging="180"/>
      </w:pPr>
    </w:lvl>
    <w:lvl w:ilvl="6" w:tplc="E354BAEA" w:tentative="1">
      <w:start w:val="1"/>
      <w:numFmt w:val="decimal"/>
      <w:lvlText w:val="%7."/>
      <w:lvlJc w:val="left"/>
      <w:pPr>
        <w:ind w:left="5040" w:hanging="360"/>
      </w:pPr>
    </w:lvl>
    <w:lvl w:ilvl="7" w:tplc="5B180D06" w:tentative="1">
      <w:start w:val="1"/>
      <w:numFmt w:val="lowerLetter"/>
      <w:lvlText w:val="%8."/>
      <w:lvlJc w:val="left"/>
      <w:pPr>
        <w:ind w:left="5760" w:hanging="360"/>
      </w:pPr>
    </w:lvl>
    <w:lvl w:ilvl="8" w:tplc="F71A2448" w:tentative="1">
      <w:start w:val="1"/>
      <w:numFmt w:val="lowerRoman"/>
      <w:lvlText w:val="%9."/>
      <w:lvlJc w:val="right"/>
      <w:pPr>
        <w:ind w:left="6480" w:hanging="180"/>
      </w:pPr>
    </w:lvl>
  </w:abstractNum>
  <w:abstractNum w:abstractNumId="4" w15:restartNumberingAfterBreak="0">
    <w:nsid w:val="7FF769C9"/>
    <w:multiLevelType w:val="hybridMultilevel"/>
    <w:tmpl w:val="A64C4B74"/>
    <w:lvl w:ilvl="0" w:tplc="35BE4684">
      <w:start w:val="1"/>
      <w:numFmt w:val="bullet"/>
      <w:lvlText w:val=""/>
      <w:lvlJc w:val="left"/>
      <w:pPr>
        <w:ind w:left="720" w:hanging="360"/>
      </w:pPr>
      <w:rPr>
        <w:rFonts w:ascii="Symbol" w:hAnsi="Symbol" w:hint="default"/>
      </w:rPr>
    </w:lvl>
    <w:lvl w:ilvl="1" w:tplc="8D38080A" w:tentative="1">
      <w:start w:val="1"/>
      <w:numFmt w:val="bullet"/>
      <w:lvlText w:val="o"/>
      <w:lvlJc w:val="left"/>
      <w:pPr>
        <w:ind w:left="1440" w:hanging="360"/>
      </w:pPr>
      <w:rPr>
        <w:rFonts w:ascii="Courier New" w:hAnsi="Courier New" w:cs="Courier New" w:hint="default"/>
      </w:rPr>
    </w:lvl>
    <w:lvl w:ilvl="2" w:tplc="CA32567C" w:tentative="1">
      <w:start w:val="1"/>
      <w:numFmt w:val="bullet"/>
      <w:lvlText w:val=""/>
      <w:lvlJc w:val="left"/>
      <w:pPr>
        <w:ind w:left="2160" w:hanging="360"/>
      </w:pPr>
      <w:rPr>
        <w:rFonts w:ascii="Wingdings" w:hAnsi="Wingdings" w:hint="default"/>
      </w:rPr>
    </w:lvl>
    <w:lvl w:ilvl="3" w:tplc="6B4000B2" w:tentative="1">
      <w:start w:val="1"/>
      <w:numFmt w:val="bullet"/>
      <w:lvlText w:val=""/>
      <w:lvlJc w:val="left"/>
      <w:pPr>
        <w:ind w:left="2880" w:hanging="360"/>
      </w:pPr>
      <w:rPr>
        <w:rFonts w:ascii="Symbol" w:hAnsi="Symbol" w:hint="default"/>
      </w:rPr>
    </w:lvl>
    <w:lvl w:ilvl="4" w:tplc="2738E07C" w:tentative="1">
      <w:start w:val="1"/>
      <w:numFmt w:val="bullet"/>
      <w:lvlText w:val="o"/>
      <w:lvlJc w:val="left"/>
      <w:pPr>
        <w:ind w:left="3600" w:hanging="360"/>
      </w:pPr>
      <w:rPr>
        <w:rFonts w:ascii="Courier New" w:hAnsi="Courier New" w:cs="Courier New" w:hint="default"/>
      </w:rPr>
    </w:lvl>
    <w:lvl w:ilvl="5" w:tplc="7E46C690" w:tentative="1">
      <w:start w:val="1"/>
      <w:numFmt w:val="bullet"/>
      <w:lvlText w:val=""/>
      <w:lvlJc w:val="left"/>
      <w:pPr>
        <w:ind w:left="4320" w:hanging="360"/>
      </w:pPr>
      <w:rPr>
        <w:rFonts w:ascii="Wingdings" w:hAnsi="Wingdings" w:hint="default"/>
      </w:rPr>
    </w:lvl>
    <w:lvl w:ilvl="6" w:tplc="30F0F0BA" w:tentative="1">
      <w:start w:val="1"/>
      <w:numFmt w:val="bullet"/>
      <w:lvlText w:val=""/>
      <w:lvlJc w:val="left"/>
      <w:pPr>
        <w:ind w:left="5040" w:hanging="360"/>
      </w:pPr>
      <w:rPr>
        <w:rFonts w:ascii="Symbol" w:hAnsi="Symbol" w:hint="default"/>
      </w:rPr>
    </w:lvl>
    <w:lvl w:ilvl="7" w:tplc="D9D07BBC" w:tentative="1">
      <w:start w:val="1"/>
      <w:numFmt w:val="bullet"/>
      <w:lvlText w:val="o"/>
      <w:lvlJc w:val="left"/>
      <w:pPr>
        <w:ind w:left="5760" w:hanging="360"/>
      </w:pPr>
      <w:rPr>
        <w:rFonts w:ascii="Courier New" w:hAnsi="Courier New" w:cs="Courier New" w:hint="default"/>
      </w:rPr>
    </w:lvl>
    <w:lvl w:ilvl="8" w:tplc="4042A96E"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10"/>
    <w:rsid w:val="00855B10"/>
    <w:rsid w:val="00914BA1"/>
    <w:rsid w:val="00A73C70"/>
    <w:rsid w:val="00C2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E5BDF-C8C5-4D80-B338-ED7B1D9A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7BBF"/>
    <w:rPr>
      <w:sz w:val="16"/>
      <w:szCs w:val="16"/>
    </w:rPr>
  </w:style>
  <w:style w:type="paragraph" w:styleId="CommentText">
    <w:name w:val="annotation text"/>
    <w:basedOn w:val="Normal"/>
    <w:link w:val="CommentTextChar"/>
    <w:uiPriority w:val="99"/>
    <w:semiHidden/>
    <w:unhideWhenUsed/>
    <w:rsid w:val="00E07BBF"/>
    <w:pPr>
      <w:spacing w:line="240" w:lineRule="auto"/>
    </w:pPr>
    <w:rPr>
      <w:sz w:val="20"/>
      <w:szCs w:val="20"/>
    </w:rPr>
  </w:style>
  <w:style w:type="character" w:customStyle="1" w:styleId="CommentTextChar">
    <w:name w:val="Comment Text Char"/>
    <w:basedOn w:val="DefaultParagraphFont"/>
    <w:link w:val="CommentText"/>
    <w:uiPriority w:val="99"/>
    <w:semiHidden/>
    <w:rsid w:val="00E07BBF"/>
    <w:rPr>
      <w:sz w:val="20"/>
      <w:szCs w:val="20"/>
    </w:rPr>
  </w:style>
  <w:style w:type="paragraph" w:styleId="CommentSubject">
    <w:name w:val="annotation subject"/>
    <w:basedOn w:val="CommentText"/>
    <w:next w:val="CommentText"/>
    <w:link w:val="CommentSubjectChar"/>
    <w:uiPriority w:val="99"/>
    <w:semiHidden/>
    <w:unhideWhenUsed/>
    <w:rsid w:val="00E07BBF"/>
    <w:rPr>
      <w:b/>
      <w:bCs/>
    </w:rPr>
  </w:style>
  <w:style w:type="character" w:customStyle="1" w:styleId="CommentSubjectChar">
    <w:name w:val="Comment Subject Char"/>
    <w:basedOn w:val="CommentTextChar"/>
    <w:link w:val="CommentSubject"/>
    <w:uiPriority w:val="99"/>
    <w:semiHidden/>
    <w:rsid w:val="00E07BBF"/>
    <w:rPr>
      <w:b/>
      <w:bCs/>
      <w:sz w:val="20"/>
      <w:szCs w:val="20"/>
    </w:rPr>
  </w:style>
  <w:style w:type="character" w:customStyle="1" w:styleId="UnresolvedMention">
    <w:name w:val="Unresolved Mention"/>
    <w:basedOn w:val="DefaultParagraphFont"/>
    <w:uiPriority w:val="99"/>
    <w:semiHidden/>
    <w:unhideWhenUsed/>
    <w:rsid w:val="00011376"/>
    <w:rPr>
      <w:color w:val="808080"/>
      <w:shd w:val="clear" w:color="auto" w:fill="E6E6E6"/>
    </w:rPr>
  </w:style>
  <w:style w:type="character" w:customStyle="1" w:styleId="BodyCopyChar">
    <w:name w:val="Body Copy Char"/>
    <w:basedOn w:val="DefaultParagraphFont"/>
    <w:link w:val="BodyCopy"/>
    <w:locked/>
    <w:rsid w:val="00177D2D"/>
    <w:rPr>
      <w:rFonts w:ascii="BentonSans Book" w:hAnsi="BentonSans Book"/>
    </w:rPr>
  </w:style>
  <w:style w:type="paragraph" w:customStyle="1" w:styleId="BodyCopy">
    <w:name w:val="Body Copy"/>
    <w:basedOn w:val="Normal"/>
    <w:link w:val="BodyCopyChar"/>
    <w:rsid w:val="00177D2D"/>
    <w:pPr>
      <w:spacing w:after="0" w:line="280" w:lineRule="atLeast"/>
    </w:pPr>
    <w:rPr>
      <w:rFonts w:ascii="BentonSans Book" w:hAnsi="BentonSans Book"/>
    </w:rPr>
  </w:style>
  <w:style w:type="character" w:customStyle="1" w:styleId="geninfoval1">
    <w:name w:val="geninfoval1"/>
    <w:basedOn w:val="DefaultParagraphFont"/>
    <w:rsid w:val="00403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deakin@localpensionspartnership.org.uk"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hurchofengland.org/more/media-centre/news/church-commissioners-and-new-york-state-comptroller-call-exxonmobil-s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igcc.org/files/press-release-files/Investors_expect_power_companies_to_show_they_are_%E2%80%98fit_for_the_clean_energy_future%E2%80%99_-_20.12.18.pdf" TargetMode="External"/><Relationship Id="rId20" Type="http://schemas.openxmlformats.org/officeDocument/2006/relationships/hyperlink" Target="https://www.frc.org.uk/consultation-list/2019/consulting-on-a-revised-uk-stewardship-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ccr.org/investors-see-proposed-rollback-methane-regs-threat-long-term-viability-oil-gas-secto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apfforum.org/publications/qrtly-engagement-reports/" TargetMode="External"/><Relationship Id="rId19" Type="http://schemas.openxmlformats.org/officeDocument/2006/relationships/hyperlink" Target="https://www.localpensionspartnership.org.uk/Files/Files/2019-01-31%20l%20LPP%20response%20to%20FCA%20discussion%20paper%20on%20Climate%20Change%20and%20Green%20Finance.pdf" TargetMode="External"/><Relationship Id="rId4" Type="http://schemas.openxmlformats.org/officeDocument/2006/relationships/settings" Target="settings.xml"/><Relationship Id="rId9" Type="http://schemas.openxmlformats.org/officeDocument/2006/relationships/hyperlink" Target="https://www.localpensionspartnership.org.uk/what-we-do/investment-management"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8005-454B-4DB8-8CFD-474CB765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5</cp:revision>
  <cp:lastPrinted>2018-11-01T10:40:00Z</cp:lastPrinted>
  <dcterms:created xsi:type="dcterms:W3CDTF">2019-03-06T14:48:00Z</dcterms:created>
  <dcterms:modified xsi:type="dcterms:W3CDTF">2019-03-18T10:50:00Z</dcterms:modified>
</cp:coreProperties>
</file>